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条款</w:t>
            </w:r>
          </w:p>
        </w:tc>
        <w:tc>
          <w:tcPr>
            <w:tcW w:w="10004"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val="en-US" w:eastAsia="zh-CN"/>
              </w:rPr>
              <w:t>项目部</w:t>
            </w:r>
            <w:r>
              <w:rPr>
                <w:rFonts w:hint="eastAsia" w:asciiTheme="minorEastAsia" w:hAnsiTheme="minorEastAsia" w:eastAsiaTheme="minorEastAsia" w:cstheme="minorEastAsia"/>
                <w:sz w:val="24"/>
                <w:szCs w:val="24"/>
              </w:rPr>
              <w:t xml:space="preserve">             主管领导：</w:t>
            </w:r>
            <w:r>
              <w:rPr>
                <w:rFonts w:hint="eastAsia" w:asciiTheme="minorEastAsia" w:hAnsiTheme="minorEastAsia" w:eastAsiaTheme="minorEastAsia" w:cstheme="minorEastAsia"/>
                <w:sz w:val="24"/>
                <w:szCs w:val="24"/>
                <w:lang w:val="en-US" w:eastAsia="zh-CN"/>
              </w:rPr>
              <w:t>冯新威</w:t>
            </w:r>
            <w:r>
              <w:rPr>
                <w:rFonts w:hint="eastAsia" w:asciiTheme="minorEastAsia" w:hAnsiTheme="minorEastAsia" w:eastAsiaTheme="minorEastAsia" w:cstheme="minorEastAsia"/>
                <w:sz w:val="24"/>
                <w:szCs w:val="24"/>
              </w:rPr>
              <w:t xml:space="preserve">              陪同人员：</w:t>
            </w:r>
            <w:bookmarkStart w:id="0" w:name="管理者代表"/>
            <w:r>
              <w:rPr>
                <w:rFonts w:hint="eastAsia" w:asciiTheme="minorEastAsia" w:hAnsiTheme="minorEastAsia" w:eastAsiaTheme="minorEastAsia" w:cstheme="minorEastAsia"/>
                <w:sz w:val="24"/>
                <w:szCs w:val="24"/>
              </w:rPr>
              <w:t>张林飞</w:t>
            </w:r>
            <w:bookmarkEnd w:id="0"/>
          </w:p>
        </w:tc>
        <w:tc>
          <w:tcPr>
            <w:tcW w:w="1585" w:type="dxa"/>
            <w:vMerge w:val="restart"/>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rFonts w:hint="eastAsia" w:asciiTheme="minorEastAsia" w:hAnsiTheme="minorEastAsia" w:eastAsiaTheme="minorEastAsia" w:cstheme="minorEastAsia"/>
                <w:sz w:val="24"/>
                <w:szCs w:val="24"/>
              </w:rPr>
            </w:pPr>
          </w:p>
        </w:tc>
        <w:tc>
          <w:tcPr>
            <w:tcW w:w="960" w:type="dxa"/>
            <w:vMerge w:val="continue"/>
            <w:vAlign w:val="center"/>
          </w:tcPr>
          <w:p>
            <w:pPr>
              <w:spacing w:line="360" w:lineRule="auto"/>
              <w:rPr>
                <w:rFonts w:hint="eastAsia" w:asciiTheme="minorEastAsia" w:hAnsiTheme="minorEastAsia" w:eastAsiaTheme="minorEastAsia" w:cstheme="minorEastAsia"/>
                <w:sz w:val="24"/>
                <w:szCs w:val="24"/>
              </w:rPr>
            </w:pPr>
          </w:p>
        </w:tc>
        <w:tc>
          <w:tcPr>
            <w:tcW w:w="10004" w:type="dxa"/>
            <w:vAlign w:val="center"/>
          </w:tcPr>
          <w:p>
            <w:pPr>
              <w:spacing w:before="120"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审核员：</w:t>
            </w:r>
            <w:bookmarkStart w:id="1" w:name="审核组成员不含组长"/>
            <w:r>
              <w:rPr>
                <w:rFonts w:hint="eastAsia" w:asciiTheme="minorEastAsia" w:hAnsiTheme="minorEastAsia" w:eastAsiaTheme="minorEastAsia" w:cstheme="minorEastAsia"/>
                <w:sz w:val="24"/>
                <w:szCs w:val="24"/>
                <w:lang w:val="en-US" w:eastAsia="zh-CN"/>
              </w:rPr>
              <w:t>周文</w:t>
            </w:r>
            <w:bookmarkEnd w:id="1"/>
            <w:r>
              <w:rPr>
                <w:rFonts w:hint="eastAsia" w:asciiTheme="minorEastAsia" w:hAnsiTheme="minorEastAsia" w:eastAsiaTheme="minorEastAsia" w:cstheme="minorEastAsia"/>
                <w:sz w:val="24"/>
                <w:szCs w:val="24"/>
              </w:rPr>
              <w:t xml:space="preserve">                审核时间：</w:t>
            </w:r>
            <w:bookmarkStart w:id="2" w:name="审核日期"/>
            <w:r>
              <w:rPr>
                <w:rFonts w:hint="eastAsia" w:asciiTheme="minorEastAsia" w:hAnsiTheme="minorEastAsia" w:eastAsiaTheme="minorEastAsia" w:cstheme="minorEastAsia"/>
                <w:sz w:val="24"/>
                <w:szCs w:val="24"/>
              </w:rPr>
              <w:t>2021年11月17日</w:t>
            </w:r>
            <w:bookmarkEnd w:id="2"/>
          </w:p>
        </w:tc>
        <w:tc>
          <w:tcPr>
            <w:tcW w:w="1585" w:type="dxa"/>
            <w:vMerge w:val="continue"/>
          </w:tcPr>
          <w:p>
            <w:pPr>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rFonts w:hint="eastAsia" w:asciiTheme="minorEastAsia" w:hAnsiTheme="minorEastAsia" w:eastAsiaTheme="minorEastAsia" w:cstheme="minorEastAsia"/>
                <w:sz w:val="24"/>
                <w:szCs w:val="24"/>
              </w:rPr>
            </w:pPr>
          </w:p>
        </w:tc>
        <w:tc>
          <w:tcPr>
            <w:tcW w:w="960" w:type="dxa"/>
            <w:vMerge w:val="continue"/>
            <w:vAlign w:val="center"/>
          </w:tcPr>
          <w:p>
            <w:pPr>
              <w:spacing w:line="360" w:lineRule="auto"/>
              <w:rPr>
                <w:rFonts w:hint="eastAsia" w:asciiTheme="minorEastAsia" w:hAnsiTheme="minorEastAsia" w:eastAsiaTheme="minorEastAsia" w:cstheme="minorEastAsia"/>
                <w:sz w:val="24"/>
                <w:szCs w:val="24"/>
              </w:rPr>
            </w:pPr>
          </w:p>
        </w:tc>
        <w:tc>
          <w:tcPr>
            <w:tcW w:w="10004" w:type="dxa"/>
            <w:vAlign w:val="center"/>
          </w:tcPr>
          <w:p>
            <w:pPr>
              <w:pStyle w:val="2"/>
              <w:numPr>
                <w:ilvl w:val="0"/>
                <w:numId w:val="0"/>
              </w:numPr>
              <w:spacing w:line="360" w:lineRule="auto"/>
              <w:ind w:left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审核条款：</w:t>
            </w:r>
          </w:p>
          <w:p>
            <w:pPr>
              <w:pStyle w:val="2"/>
              <w:numPr>
                <w:ilvl w:val="0"/>
                <w:numId w:val="0"/>
              </w:numPr>
              <w:spacing w:line="360" w:lineRule="auto"/>
              <w:ind w:left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Q:5.3/8.3/8.5/8.6/8.7</w:t>
            </w:r>
          </w:p>
          <w:p>
            <w:pPr>
              <w:pStyle w:val="2"/>
              <w:numPr>
                <w:ilvl w:val="0"/>
                <w:numId w:val="0"/>
              </w:numPr>
              <w:spacing w:line="360" w:lineRule="auto"/>
              <w:ind w:left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E:5.3/6.1.2/8.1/8.2/9.1.1/10.2；</w:t>
            </w:r>
          </w:p>
          <w:p>
            <w:pPr>
              <w:pStyle w:val="2"/>
              <w:numPr>
                <w:ilvl w:val="0"/>
                <w:numId w:val="0"/>
              </w:numPr>
              <w:spacing w:line="360" w:lineRule="auto"/>
              <w:ind w:left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O:5.3</w:t>
            </w:r>
          </w:p>
          <w:p>
            <w:pPr>
              <w:pStyle w:val="2"/>
              <w:numPr>
                <w:ilvl w:val="0"/>
                <w:numId w:val="1"/>
              </w:numPr>
              <w:spacing w:line="360" w:lineRule="auto"/>
              <w:ind w:left="0" w:leftChars="0" w:firstLine="0" w:firstLine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物业管理服务过程风险确定及策划，包括职责分配、风险识别、目标管理等；</w:t>
            </w:r>
          </w:p>
          <w:p>
            <w:pPr>
              <w:pStyle w:val="2"/>
              <w:numPr>
                <w:ilvl w:val="0"/>
                <w:numId w:val="1"/>
              </w:numPr>
              <w:spacing w:line="360" w:lineRule="auto"/>
              <w:ind w:left="0" w:leftChars="0" w:firstLine="0" w:firstLine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物业管理</w:t>
            </w:r>
            <w:r>
              <w:rPr>
                <w:rFonts w:hint="eastAsia" w:asciiTheme="minorEastAsia" w:hAnsiTheme="minorEastAsia" w:eastAsiaTheme="minorEastAsia" w:cstheme="minorEastAsia"/>
                <w:b w:val="0"/>
                <w:bCs w:val="0"/>
                <w:sz w:val="24"/>
                <w:szCs w:val="24"/>
              </w:rPr>
              <w:t>服务设计开发过程</w:t>
            </w:r>
            <w:r>
              <w:rPr>
                <w:rFonts w:hint="eastAsia" w:asciiTheme="minorEastAsia" w:hAnsiTheme="minorEastAsia" w:eastAsiaTheme="minorEastAsia" w:cstheme="minorEastAsia"/>
                <w:b w:val="0"/>
                <w:bCs w:val="0"/>
                <w:sz w:val="24"/>
                <w:szCs w:val="24"/>
                <w:lang w:eastAsia="zh-CN"/>
              </w:rPr>
              <w:t>；</w:t>
            </w:r>
          </w:p>
          <w:p>
            <w:pPr>
              <w:pStyle w:val="2"/>
              <w:numPr>
                <w:ilvl w:val="0"/>
                <w:numId w:val="1"/>
              </w:numPr>
              <w:spacing w:line="360" w:lineRule="auto"/>
              <w:ind w:left="0" w:leftChars="0" w:firstLine="0" w:firstLine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物业管理服务过程;</w:t>
            </w:r>
          </w:p>
          <w:p>
            <w:pPr>
              <w:pStyle w:val="2"/>
              <w:numPr>
                <w:ilvl w:val="0"/>
                <w:numId w:val="1"/>
              </w:numPr>
              <w:spacing w:line="360" w:lineRule="auto"/>
              <w:ind w:left="0" w:leftChars="0" w:firstLine="0" w:firstLine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服务放行及检验作业活动过程的运行控制；</w:t>
            </w:r>
          </w:p>
          <w:p>
            <w:pPr>
              <w:pStyle w:val="2"/>
              <w:numPr>
                <w:ilvl w:val="0"/>
                <w:numId w:val="1"/>
              </w:numPr>
              <w:spacing w:line="360" w:lineRule="auto"/>
              <w:ind w:left="0" w:leftChars="0" w:firstLine="0" w:firstLineChars="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pacing w:val="10"/>
                <w:kern w:val="2"/>
                <w:sz w:val="24"/>
                <w:szCs w:val="24"/>
                <w:lang w:val="en-US" w:eastAsia="zh-CN" w:bidi="ar-SA"/>
              </w:rPr>
              <w:t>不合格</w:t>
            </w:r>
            <w:r>
              <w:rPr>
                <w:rFonts w:hint="eastAsia" w:asciiTheme="minorEastAsia" w:hAnsiTheme="minorEastAsia" w:eastAsiaTheme="minorEastAsia" w:cstheme="minorEastAsia"/>
                <w:b w:val="0"/>
                <w:bCs w:val="0"/>
                <w:sz w:val="24"/>
                <w:szCs w:val="24"/>
              </w:rPr>
              <w:t>服务输出的控制</w:t>
            </w:r>
            <w:r>
              <w:rPr>
                <w:rFonts w:hint="eastAsia" w:asciiTheme="minorEastAsia" w:hAnsiTheme="minorEastAsia" w:eastAsiaTheme="minorEastAsia" w:cstheme="minorEastAsia"/>
                <w:b w:val="0"/>
                <w:bCs w:val="0"/>
                <w:sz w:val="24"/>
                <w:szCs w:val="24"/>
                <w:lang w:eastAsia="zh-CN"/>
              </w:rPr>
              <w:t>；</w:t>
            </w:r>
          </w:p>
          <w:p>
            <w:pPr>
              <w:pStyle w:val="2"/>
              <w:numPr>
                <w:ilvl w:val="0"/>
                <w:numId w:val="1"/>
              </w:numPr>
              <w:spacing w:line="360" w:lineRule="auto"/>
              <w:ind w:left="0" w:leftChars="0" w:firstLine="0" w:firstLineChars="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t>结合部门</w:t>
            </w:r>
            <w:r>
              <w:rPr>
                <w:rFonts w:hint="eastAsia" w:asciiTheme="minorEastAsia" w:hAnsiTheme="minorEastAsia" w:eastAsiaTheme="minorEastAsia" w:cstheme="minorEastAsia"/>
                <w:b w:val="0"/>
                <w:bCs w:val="0"/>
                <w:sz w:val="24"/>
                <w:szCs w:val="24"/>
                <w:lang w:val="en-US" w:eastAsia="zh-CN"/>
              </w:rPr>
              <w:t>物业管理服务</w:t>
            </w:r>
            <w:r>
              <w:rPr>
                <w:rFonts w:hint="eastAsia" w:asciiTheme="minorEastAsia" w:hAnsiTheme="minorEastAsia" w:eastAsiaTheme="minorEastAsia" w:cstheme="minorEastAsia"/>
                <w:b w:val="0"/>
                <w:bCs w:val="0"/>
                <w:sz w:val="24"/>
                <w:szCs w:val="24"/>
              </w:rPr>
              <w:t>业务过程活动，关注其环境因素辨识 的充分性以及运行控制的有效性与应急响应控制；</w:t>
            </w:r>
          </w:p>
          <w:p>
            <w:pPr>
              <w:pStyle w:val="2"/>
              <w:numPr>
                <w:ilvl w:val="0"/>
                <w:numId w:val="0"/>
              </w:numPr>
              <w:spacing w:line="360" w:lineRule="auto"/>
              <w:ind w:left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7、部门业务过程绩效检查、改进过程</w:t>
            </w:r>
          </w:p>
          <w:p>
            <w:pPr>
              <w:spacing w:line="360" w:lineRule="auto"/>
              <w:rPr>
                <w:rFonts w:hint="eastAsia" w:asciiTheme="minorEastAsia" w:hAnsiTheme="minorEastAsia" w:eastAsiaTheme="minorEastAsia" w:cstheme="minorEastAsia"/>
                <w:b w:val="0"/>
                <w:bCs w:val="0"/>
                <w:sz w:val="24"/>
                <w:szCs w:val="24"/>
                <w:u w:val="none"/>
                <w:lang w:val="en-US" w:eastAsia="zh-CN"/>
              </w:rPr>
            </w:pPr>
          </w:p>
        </w:tc>
        <w:tc>
          <w:tcPr>
            <w:tcW w:w="1585" w:type="dxa"/>
            <w:vMerge w:val="continue"/>
          </w:tcPr>
          <w:p>
            <w:pPr>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pacing w:val="10"/>
                <w:kern w:val="2"/>
                <w:sz w:val="24"/>
                <w:szCs w:val="24"/>
                <w:lang w:val="en-US" w:eastAsia="zh-CN" w:bidi="ar-SA"/>
              </w:rPr>
              <w:t>物业管理服务过程风险确定及策划，包括职责分配、风险识别、目标管理等；</w:t>
            </w:r>
          </w:p>
        </w:tc>
        <w:tc>
          <w:tcPr>
            <w:tcW w:w="960" w:type="dxa"/>
          </w:tcPr>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QEO5.3E6.1.2/6.2</w:t>
            </w:r>
          </w:p>
          <w:p>
            <w:pPr>
              <w:pStyle w:val="2"/>
              <w:spacing w:line="360" w:lineRule="auto"/>
              <w:rPr>
                <w:rFonts w:hint="eastAsia" w:asciiTheme="minorEastAsia" w:hAnsiTheme="minorEastAsia" w:eastAsiaTheme="minorEastAsia" w:cstheme="minorEastAsia"/>
                <w:sz w:val="24"/>
                <w:szCs w:val="24"/>
                <w:lang w:val="en-US" w:eastAsia="zh-CN"/>
              </w:rPr>
            </w:pPr>
          </w:p>
        </w:tc>
        <w:tc>
          <w:tcPr>
            <w:tcW w:w="10004" w:type="dxa"/>
          </w:tcPr>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部门负责</w:t>
            </w:r>
            <w:r>
              <w:rPr>
                <w:rFonts w:hint="eastAsia" w:asciiTheme="minorEastAsia" w:hAnsiTheme="minorEastAsia" w:eastAsiaTheme="minorEastAsia" w:cstheme="minorEastAsia"/>
                <w:sz w:val="24"/>
                <w:szCs w:val="24"/>
                <w:lang w:val="en-US" w:eastAsia="zh-CN"/>
              </w:rPr>
              <w:t>人冯新威介绍,本部门20人，其中19人主要下层到项目点进行物业服务的具体实施及检查，主要负责以下工作内容：</w:t>
            </w:r>
          </w:p>
          <w:p>
            <w:pPr>
              <w:widowControl/>
              <w:spacing w:line="360" w:lineRule="auto"/>
              <w:ind w:firstLine="48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a）负责</w:t>
            </w:r>
            <w:r>
              <w:rPr>
                <w:rFonts w:hint="eastAsia" w:asciiTheme="minorEastAsia" w:hAnsiTheme="minorEastAsia" w:eastAsiaTheme="minorEastAsia" w:cstheme="minorEastAsia"/>
                <w:sz w:val="24"/>
                <w:szCs w:val="24"/>
                <w:lang w:eastAsia="zh-CN"/>
              </w:rPr>
              <w:t>物业管理服务</w:t>
            </w:r>
            <w:r>
              <w:rPr>
                <w:rFonts w:hint="eastAsia" w:asciiTheme="minorEastAsia" w:hAnsiTheme="minorEastAsia" w:eastAsiaTheme="minorEastAsia" w:cstheme="minorEastAsia"/>
                <w:sz w:val="24"/>
                <w:szCs w:val="24"/>
              </w:rPr>
              <w:t>的检查工作；</w:t>
            </w:r>
          </w:p>
          <w:p>
            <w:pPr>
              <w:widowControl/>
              <w:spacing w:line="360" w:lineRule="auto"/>
              <w:ind w:firstLine="48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b）负责</w:t>
            </w:r>
            <w:r>
              <w:rPr>
                <w:rFonts w:hint="eastAsia" w:asciiTheme="minorEastAsia" w:hAnsiTheme="minorEastAsia" w:eastAsiaTheme="minorEastAsia" w:cstheme="minorEastAsia"/>
                <w:sz w:val="24"/>
                <w:szCs w:val="24"/>
                <w:lang w:eastAsia="zh-CN"/>
              </w:rPr>
              <w:t>物业管理服务</w:t>
            </w:r>
            <w:r>
              <w:rPr>
                <w:rFonts w:hint="eastAsia" w:asciiTheme="minorEastAsia" w:hAnsiTheme="minorEastAsia" w:eastAsiaTheme="minorEastAsia" w:cstheme="minorEastAsia"/>
                <w:sz w:val="24"/>
                <w:szCs w:val="24"/>
              </w:rPr>
              <w:t>中的服务实施；</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c）负责本部门重要环境因素和危险源的识别和评价，</w:t>
            </w:r>
            <w:r>
              <w:rPr>
                <w:rFonts w:hint="eastAsia" w:asciiTheme="minorEastAsia" w:hAnsiTheme="minorEastAsia" w:eastAsiaTheme="minorEastAsia" w:cstheme="minorEastAsia"/>
                <w:color w:val="000000"/>
                <w:sz w:val="24"/>
                <w:szCs w:val="24"/>
              </w:rPr>
              <w:t>提出管理方案并实施；</w:t>
            </w:r>
          </w:p>
          <w:p>
            <w:pPr>
              <w:widowControl/>
              <w:spacing w:line="360" w:lineRule="auto"/>
              <w:ind w:firstLine="48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d）负责本部门应急准备和响应计划落实及应急情况的善后处理，包括本部门应急准备的物资管理；</w:t>
            </w:r>
          </w:p>
          <w:p>
            <w:pPr>
              <w:widowControl/>
              <w:spacing w:line="360" w:lineRule="auto"/>
              <w:ind w:firstLine="48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e）负责公司质量/环境/职业健康安全管理体系不符合、纠正和预防工作的统一归口管理。</w:t>
            </w:r>
          </w:p>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p>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——跟踪核查其管理手册5.3文件内容，其部门负责人表述与文件规定基本一致。</w:t>
            </w:r>
          </w:p>
          <w:p>
            <w:pPr>
              <w:pStyle w:val="14"/>
              <w:spacing w:line="360" w:lineRule="auto"/>
              <w:rPr>
                <w:rFonts w:hint="eastAsia" w:asciiTheme="minorEastAsia" w:hAnsiTheme="minorEastAsia" w:eastAsiaTheme="minorEastAsia" w:cstheme="minorEastAsia"/>
                <w:sz w:val="24"/>
                <w:szCs w:val="24"/>
                <w:lang w:val="en-US" w:eastAsia="zh-CN"/>
              </w:rPr>
            </w:pPr>
          </w:p>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——岗位、职责和权限明确。</w:t>
            </w:r>
          </w:p>
          <w:p>
            <w:pPr>
              <w:pStyle w:val="14"/>
              <w:spacing w:line="360" w:lineRule="auto"/>
              <w:rPr>
                <w:rFonts w:hint="eastAsia" w:asciiTheme="minorEastAsia" w:hAnsiTheme="minorEastAsia" w:eastAsiaTheme="minorEastAsia" w:cstheme="minorEastAsia"/>
                <w:sz w:val="24"/>
                <w:szCs w:val="24"/>
                <w:lang w:val="en-US" w:eastAsia="zh-CN"/>
              </w:rPr>
            </w:pPr>
          </w:p>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部门按主控部门策划的管理方案对本部门的分解QEO目标指标进行控制管理，执行的程序与文件主要有</w:t>
            </w:r>
            <w:r>
              <w:rPr>
                <w:rFonts w:hint="eastAsia" w:asciiTheme="minorEastAsia" w:hAnsiTheme="minorEastAsia" w:eastAsiaTheme="minorEastAsia" w:cstheme="minorEastAsia"/>
                <w:sz w:val="24"/>
                <w:szCs w:val="24"/>
              </w:rPr>
              <w:t>《目标和管理方案的控制程序》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环境管理方案、职业健康安全管理方案，管理目标分解。</w:t>
            </w:r>
          </w:p>
          <w:p>
            <w:pPr>
              <w:pStyle w:val="14"/>
              <w:spacing w:line="360" w:lineRule="auto"/>
              <w:rPr>
                <w:rFonts w:hint="eastAsia" w:asciiTheme="minorEastAsia" w:hAnsiTheme="minorEastAsia" w:eastAsiaTheme="minorEastAsia" w:cstheme="minorEastAsia"/>
                <w:sz w:val="24"/>
                <w:szCs w:val="24"/>
                <w:lang w:eastAsia="zh-CN"/>
              </w:rPr>
            </w:pPr>
          </w:p>
          <w:p>
            <w:pPr>
              <w:pStyle w:val="14"/>
              <w:spacing w:line="360" w:lineRule="auto"/>
              <w:ind w:left="420" w:hanging="480" w:hanging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管理目标统计表</w:t>
            </w:r>
            <w:r>
              <w:rPr>
                <w:rFonts w:hint="eastAsia" w:asciiTheme="minorEastAsia" w:hAnsiTheme="minorEastAsia" w:eastAsiaTheme="minorEastAsia" w:cstheme="minorEastAsia"/>
                <w:sz w:val="24"/>
                <w:szCs w:val="24"/>
              </w:rPr>
              <w:t>”审批：</w:t>
            </w:r>
            <w:r>
              <w:rPr>
                <w:rFonts w:hint="eastAsia" w:asciiTheme="minorEastAsia" w:hAnsiTheme="minorEastAsia" w:eastAsiaTheme="minorEastAsia" w:cstheme="minorEastAsia"/>
                <w:bCs/>
                <w:color w:val="000000"/>
                <w:kern w:val="0"/>
                <w:sz w:val="24"/>
                <w:szCs w:val="24"/>
                <w:lang w:eastAsia="zh-CN"/>
              </w:rPr>
              <w:t>窦景阵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编制：</w:t>
            </w:r>
            <w:r>
              <w:rPr>
                <w:rFonts w:hint="eastAsia" w:asciiTheme="minorEastAsia" w:hAnsiTheme="minorEastAsia" w:eastAsiaTheme="minorEastAsia" w:cstheme="minorEastAsia"/>
                <w:bCs/>
                <w:color w:val="000000"/>
                <w:kern w:val="0"/>
                <w:sz w:val="24"/>
                <w:szCs w:val="24"/>
                <w:lang w:eastAsia="zh-CN"/>
              </w:rPr>
              <w:t>杨希燕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日期：</w:t>
            </w:r>
            <w:r>
              <w:rPr>
                <w:rFonts w:hint="eastAsia" w:asciiTheme="minorEastAsia" w:hAnsiTheme="minorEastAsia" w:eastAsiaTheme="minorEastAsia" w:cstheme="minorEastAsia"/>
                <w:sz w:val="24"/>
                <w:szCs w:val="24"/>
                <w:lang w:val="en-US" w:eastAsia="zh-CN"/>
              </w:rPr>
              <w:t>2021.9.30.</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内容显示2021年1-3季度公司目标及各部门分解目标均已达成。</w:t>
            </w:r>
          </w:p>
          <w:p>
            <w:pPr>
              <w:pStyle w:val="14"/>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503420" cy="952500"/>
                  <wp:effectExtent l="0" t="0" r="762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503420" cy="952500"/>
                          </a:xfrm>
                          <a:prstGeom prst="rect">
                            <a:avLst/>
                          </a:prstGeom>
                          <a:noFill/>
                          <a:ln>
                            <a:noFill/>
                          </a:ln>
                        </pic:spPr>
                      </pic:pic>
                    </a:graphicData>
                  </a:graphic>
                </wp:inline>
              </w:drawing>
            </w:r>
          </w:p>
          <w:p>
            <w:pPr>
              <w:pStyle w:val="14"/>
              <w:spacing w:line="360" w:lineRule="auto"/>
              <w:rPr>
                <w:rFonts w:hint="eastAsia" w:asciiTheme="minorEastAsia" w:hAnsiTheme="minorEastAsia" w:eastAsiaTheme="minorEastAsia" w:cstheme="minorEastAsia"/>
                <w:sz w:val="24"/>
                <w:szCs w:val="24"/>
              </w:rPr>
            </w:pPr>
          </w:p>
          <w:p>
            <w:pPr>
              <w:pStyle w:val="2"/>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——目标管理符合要求。</w:t>
            </w:r>
          </w:p>
          <w:p>
            <w:pPr>
              <w:pStyle w:val="2"/>
              <w:spacing w:line="360" w:lineRule="auto"/>
              <w:rPr>
                <w:rFonts w:hint="eastAsia" w:asciiTheme="minorEastAsia" w:hAnsiTheme="minorEastAsia" w:eastAsiaTheme="minorEastAsia" w:cstheme="minorEastAsia"/>
                <w:sz w:val="24"/>
                <w:szCs w:val="24"/>
                <w:lang w:val="en-US" w:eastAsia="zh-CN"/>
              </w:rPr>
            </w:pPr>
          </w:p>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——负责人介绍，本部门环境、安全策划、运行按照主控部门策划的“环境因素识别和评价程序”、“</w:t>
            </w:r>
            <w:r>
              <w:rPr>
                <w:rFonts w:hint="eastAsia" w:asciiTheme="minorEastAsia" w:hAnsiTheme="minorEastAsia" w:eastAsiaTheme="minorEastAsia" w:cstheme="minorEastAsia"/>
                <w:iCs/>
                <w:sz w:val="24"/>
                <w:szCs w:val="24"/>
              </w:rPr>
              <w:t>废弃物控制程序</w:t>
            </w:r>
            <w:r>
              <w:rPr>
                <w:rFonts w:hint="eastAsia" w:asciiTheme="minorEastAsia" w:hAnsiTheme="minorEastAsia" w:eastAsiaTheme="minorEastAsia" w:cstheme="minorEastAsia"/>
                <w:kern w:val="2"/>
                <w:sz w:val="24"/>
                <w:szCs w:val="24"/>
                <w:lang w:val="en-US" w:eastAsia="zh-CN" w:bidi="ar-SA"/>
              </w:rPr>
              <w:t>”、“</w:t>
            </w:r>
            <w:r>
              <w:rPr>
                <w:rFonts w:hint="eastAsia" w:asciiTheme="minorEastAsia" w:hAnsiTheme="minorEastAsia" w:eastAsiaTheme="minorEastAsia" w:cstheme="minorEastAsia"/>
                <w:sz w:val="24"/>
                <w:szCs w:val="24"/>
              </w:rPr>
              <w:t>风险和机遇控制程序</w:t>
            </w:r>
            <w:r>
              <w:rPr>
                <w:rFonts w:hint="eastAsia" w:asciiTheme="minorEastAsia" w:hAnsiTheme="minorEastAsia" w:eastAsiaTheme="minorEastAsia" w:cstheme="minorEastAsia"/>
                <w:kern w:val="2"/>
                <w:sz w:val="24"/>
                <w:szCs w:val="24"/>
                <w:lang w:val="en-US" w:eastAsia="zh-CN" w:bidi="ar-SA"/>
              </w:rPr>
              <w:t>”及“环境管理方案”进行控制。</w:t>
            </w:r>
          </w:p>
          <w:p>
            <w:pPr>
              <w:pStyle w:val="14"/>
              <w:spacing w:line="360" w:lineRule="auto"/>
              <w:rPr>
                <w:rFonts w:hint="eastAsia" w:asciiTheme="minorEastAsia" w:hAnsiTheme="minorEastAsia" w:eastAsiaTheme="minorEastAsia" w:cstheme="minorEastAsia"/>
                <w:kern w:val="2"/>
                <w:sz w:val="24"/>
                <w:szCs w:val="24"/>
                <w:lang w:val="en-US" w:eastAsia="zh-CN" w:bidi="ar-SA"/>
              </w:rPr>
            </w:pPr>
          </w:p>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——查“环境因素调查评价清单”（项目部），按时态和状态对环境因素对环境的影响进行了评价，编审批日期齐全；与本部门相关的环境因素主要有：</w:t>
            </w:r>
          </w:p>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办公过程：生活污水、固体废弃物、潜在火灾、空调冷却液的泄漏等。</w:t>
            </w:r>
          </w:p>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服务现场：</w:t>
            </w:r>
            <w:r>
              <w:rPr>
                <w:rFonts w:hint="eastAsia" w:asciiTheme="minorEastAsia" w:hAnsiTheme="minorEastAsia" w:eastAsiaTheme="minorEastAsia" w:cstheme="minorEastAsia"/>
                <w:sz w:val="24"/>
                <w:szCs w:val="24"/>
              </w:rPr>
              <w:t>废水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废包装袋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扬尘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垃圾撒落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汽车尾气等。</w:t>
            </w:r>
          </w:p>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p>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——查“重要环境因素清单”；编审批日期齐全；经识别与本部门相关的重要环境因素为：潜在火灾事故发生、固体废弃物处理、扬尘。</w:t>
            </w:r>
          </w:p>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控制方式：管理方案、执行管理规定、程序文件</w:t>
            </w:r>
          </w:p>
          <w:p>
            <w:pPr>
              <w:pStyle w:val="2"/>
              <w:spacing w:line="360" w:lineRule="auto"/>
              <w:rPr>
                <w:rFonts w:hint="eastAsia" w:asciiTheme="minorEastAsia" w:hAnsiTheme="minorEastAsia" w:eastAsiaTheme="minorEastAsia" w:cstheme="minorEastAsia"/>
                <w:sz w:val="24"/>
                <w:szCs w:val="24"/>
                <w:lang w:val="en-US" w:eastAsia="zh-CN"/>
              </w:rPr>
            </w:pPr>
          </w:p>
          <w:p>
            <w:pPr>
              <w:pStyle w:val="2"/>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——环境因素的识别和控制基本符合。</w:t>
            </w:r>
          </w:p>
        </w:tc>
        <w:tc>
          <w:tcPr>
            <w:tcW w:w="1585" w:type="dxa"/>
          </w:tcPr>
          <w:p>
            <w:pPr>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物业管理</w:t>
            </w:r>
            <w:r>
              <w:rPr>
                <w:rFonts w:hint="eastAsia" w:asciiTheme="minorEastAsia" w:hAnsiTheme="minorEastAsia" w:eastAsiaTheme="minorEastAsia" w:cstheme="minorEastAsia"/>
                <w:b w:val="0"/>
                <w:bCs w:val="0"/>
                <w:sz w:val="24"/>
                <w:szCs w:val="24"/>
              </w:rPr>
              <w:t>服务设计开发过程</w:t>
            </w:r>
            <w:r>
              <w:rPr>
                <w:rFonts w:hint="eastAsia" w:asciiTheme="minorEastAsia" w:hAnsiTheme="minorEastAsia" w:eastAsiaTheme="minorEastAsia" w:cstheme="minorEastAsia"/>
                <w:b w:val="0"/>
                <w:bCs w:val="0"/>
                <w:sz w:val="24"/>
                <w:szCs w:val="24"/>
                <w:lang w:eastAsia="zh-CN"/>
              </w:rPr>
              <w:t>；</w:t>
            </w:r>
          </w:p>
        </w:tc>
        <w:tc>
          <w:tcPr>
            <w:tcW w:w="960" w:type="dxa"/>
            <w:vAlign w:val="top"/>
          </w:tcPr>
          <w:p>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Q</w:t>
            </w:r>
            <w:r>
              <w:rPr>
                <w:rFonts w:hint="eastAsia" w:asciiTheme="minorEastAsia" w:hAnsiTheme="minorEastAsia" w:eastAsiaTheme="minorEastAsia" w:cstheme="minorEastAsia"/>
                <w:b w:val="0"/>
                <w:bCs w:val="0"/>
                <w:sz w:val="24"/>
                <w:szCs w:val="24"/>
                <w:u w:val="none"/>
                <w:lang w:val="en-US" w:eastAsia="zh-CN"/>
              </w:rPr>
              <w:t>8.3</w:t>
            </w:r>
          </w:p>
        </w:tc>
        <w:tc>
          <w:tcPr>
            <w:tcW w:w="10004" w:type="dxa"/>
            <w:vAlign w:val="top"/>
          </w:tcPr>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——查管理手册8.3条款：</w:t>
            </w:r>
          </w:p>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GB/T19001-2016 idt ISO9001：2015质量管理体系要求中8.3产品和服务的设计和开发，不适用于本公司，由于公司所有物业管理服务活动均按照国家或行业的相关规定及顾客要求实施，不存在设计和开发活动，故不适用条款8.3“产品和服务的设计和开发”。 且不适用8.3条款不影响本组织确保所提供的产品和服务合格的能力或责任，对增强顾客满意也不会产生影响。</w:t>
            </w:r>
          </w:p>
          <w:p>
            <w:pPr>
              <w:pStyle w:val="14"/>
              <w:spacing w:line="360" w:lineRule="auto"/>
              <w:rPr>
                <w:rFonts w:hint="eastAsia" w:asciiTheme="minorEastAsia" w:hAnsiTheme="minorEastAsia" w:eastAsiaTheme="minorEastAsia" w:cstheme="minorEastAsia"/>
                <w:kern w:val="2"/>
                <w:sz w:val="24"/>
                <w:szCs w:val="24"/>
                <w:lang w:val="en-US" w:eastAsia="zh-CN" w:bidi="ar-SA"/>
              </w:rPr>
            </w:pPr>
          </w:p>
          <w:p>
            <w:pPr>
              <w:pStyle w:val="14"/>
              <w:spacing w:line="360" w:lineRule="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——基本符合</w:t>
            </w:r>
          </w:p>
          <w:p>
            <w:pPr>
              <w:pStyle w:val="2"/>
              <w:spacing w:line="360" w:lineRule="auto"/>
              <w:rPr>
                <w:rFonts w:hint="eastAsia" w:asciiTheme="minorEastAsia" w:hAnsiTheme="minorEastAsia" w:eastAsiaTheme="minorEastAsia" w:cstheme="minorEastAsia"/>
                <w:bCs/>
                <w:spacing w:val="10"/>
                <w:kern w:val="2"/>
                <w:sz w:val="24"/>
                <w:szCs w:val="24"/>
                <w:lang w:val="en-US" w:eastAsia="zh-CN" w:bidi="ar-SA"/>
              </w:rPr>
            </w:pPr>
          </w:p>
        </w:tc>
        <w:tc>
          <w:tcPr>
            <w:tcW w:w="1585" w:type="dxa"/>
          </w:tcPr>
          <w:p>
            <w:pPr>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物业服务过程的</w:t>
            </w:r>
            <w:r>
              <w:rPr>
                <w:rFonts w:hint="eastAsia" w:asciiTheme="minorEastAsia" w:hAnsiTheme="minorEastAsia" w:eastAsiaTheme="minorEastAsia" w:cstheme="minorEastAsia"/>
                <w:sz w:val="24"/>
                <w:szCs w:val="24"/>
                <w:highlight w:val="yellow"/>
                <w:lang w:val="en-US" w:eastAsia="zh-CN"/>
              </w:rPr>
              <w:t>策划及实施</w:t>
            </w:r>
            <w:bookmarkStart w:id="3" w:name="_GoBack"/>
            <w:bookmarkEnd w:id="3"/>
          </w:p>
        </w:tc>
        <w:tc>
          <w:tcPr>
            <w:tcW w:w="960" w:type="dxa"/>
          </w:tcPr>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w:t>
            </w:r>
            <w:r>
              <w:rPr>
                <w:rFonts w:hint="eastAsia" w:asciiTheme="minorEastAsia" w:hAnsiTheme="minorEastAsia" w:eastAsiaTheme="minorEastAsia" w:cstheme="minorEastAsia"/>
                <w:sz w:val="24"/>
                <w:szCs w:val="24"/>
                <w:highlight w:val="yellow"/>
                <w:lang w:val="en-US" w:eastAsia="zh-CN"/>
              </w:rPr>
              <w:t>8.1</w:t>
            </w:r>
            <w:r>
              <w:rPr>
                <w:rFonts w:hint="eastAsia" w:asciiTheme="minorEastAsia" w:hAnsiTheme="minorEastAsia" w:eastAsiaTheme="minorEastAsia" w:cstheme="minorEastAsia"/>
                <w:sz w:val="24"/>
                <w:szCs w:val="24"/>
                <w:lang w:val="en-US" w:eastAsia="zh-CN"/>
              </w:rPr>
              <w:t>/8.5</w:t>
            </w:r>
          </w:p>
        </w:tc>
        <w:tc>
          <w:tcPr>
            <w:tcW w:w="10004" w:type="dxa"/>
          </w:tcPr>
          <w:p>
            <w:pPr>
              <w:pStyle w:val="14"/>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核查其策划有《记录控制程序》、《服务提供过程控制程序》、《服务质量监视和测量控制程序》、《与顾客有关的过程控制程序》、《对相关方施加影响控制程序》、《顾客满意程度测量程序》、《法律、法规及其他要求控制程序》、《废弃物控制程序》及“清洁服务标准”、“安全消防制度”、“环境管理制度”等程序和管理文件，建立了物业服务的准则。——文审满足要求。</w:t>
            </w:r>
          </w:p>
          <w:p>
            <w:pPr>
              <w:pStyle w:val="14"/>
              <w:spacing w:line="360" w:lineRule="auto"/>
              <w:ind w:firstLine="480" w:firstLineChars="200"/>
              <w:rPr>
                <w:rFonts w:hint="eastAsia"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核查提供有员工名录，培训计划、岗位职责等文件。——人力资源策划满足要求。</w:t>
            </w:r>
          </w:p>
          <w:p>
            <w:pPr>
              <w:pStyle w:val="14"/>
              <w:spacing w:line="360" w:lineRule="auto"/>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出示有设备清单及设备维保记录。——设备能力策划满足要求。</w:t>
            </w:r>
          </w:p>
          <w:p>
            <w:pPr>
              <w:pStyle w:val="14"/>
              <w:spacing w:line="360" w:lineRule="auto"/>
              <w:ind w:firstLine="480" w:firstLineChars="200"/>
              <w:rPr>
                <w:rFonts w:hint="default" w:asciiTheme="minorEastAsia" w:hAnsiTheme="minorEastAsia" w:eastAsiaTheme="minorEastAsia" w:cstheme="minorEastAsia"/>
                <w:kern w:val="2"/>
                <w:sz w:val="24"/>
                <w:szCs w:val="24"/>
                <w:lang w:val="en-US" w:eastAsia="zh-CN" w:bidi="ar-SA"/>
              </w:rPr>
            </w:pPr>
          </w:p>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——公司策划的物业管理服务流程：</w:t>
            </w:r>
          </w:p>
          <w:p>
            <w:pPr>
              <w:pStyle w:val="14"/>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业务洽谈—合同评审—合同签订—物业服务—自查—检查-满意度调查</w:t>
            </w:r>
          </w:p>
          <w:p>
            <w:pPr>
              <w:pStyle w:val="14"/>
              <w:spacing w:line="360" w:lineRule="auto"/>
              <w:rPr>
                <w:rFonts w:hint="default" w:asciiTheme="minorEastAsia" w:hAnsiTheme="minorEastAsia" w:eastAsiaTheme="minorEastAsia" w:cstheme="minorEastAsia"/>
                <w:color w:val="FF0000"/>
                <w:kern w:val="2"/>
                <w:sz w:val="24"/>
                <w:szCs w:val="24"/>
                <w:highlight w:val="none"/>
                <w:lang w:val="en-US" w:eastAsia="zh-CN" w:bidi="ar-SA"/>
              </w:rPr>
            </w:pPr>
            <w:r>
              <w:rPr>
                <w:rFonts w:hint="eastAsia" w:asciiTheme="minorEastAsia" w:hAnsiTheme="minorEastAsia" w:eastAsiaTheme="minorEastAsia" w:cstheme="minorEastAsia"/>
                <w:kern w:val="2"/>
                <w:sz w:val="24"/>
                <w:szCs w:val="24"/>
                <w:lang w:val="en-US" w:eastAsia="zh-CN" w:bidi="ar-SA"/>
              </w:rPr>
              <w:t>——业务部负责业务洽谈及组织合同评审、签订；项目部执行物业服务、自查、检查；行政部负责满意度调查。</w:t>
            </w:r>
          </w:p>
          <w:p>
            <w:pPr>
              <w:pStyle w:val="14"/>
              <w:spacing w:line="360" w:lineRule="auto"/>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经识别的外包过程：电梯维保，提供有管理程序及外包协议；具体见业务部检测表8.4条款。</w:t>
            </w:r>
          </w:p>
          <w:p>
            <w:pPr>
              <w:pStyle w:val="14"/>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物业服务内容：居民小区的物业管理服务；包含房屋与公共设施设备管理，公共环境管理，公共秩序管理。</w:t>
            </w:r>
          </w:p>
          <w:p>
            <w:pPr>
              <w:pStyle w:val="14"/>
              <w:spacing w:line="360" w:lineRule="auto"/>
              <w:rPr>
                <w:rFonts w:hint="eastAsia" w:asciiTheme="minorEastAsia" w:hAnsiTheme="minorEastAsia" w:eastAsiaTheme="minorEastAsia" w:cstheme="minorEastAsia"/>
                <w:kern w:val="2"/>
                <w:sz w:val="24"/>
                <w:szCs w:val="24"/>
                <w:highlight w:val="none"/>
                <w:lang w:val="en-US" w:eastAsia="zh-CN" w:bidi="ar-SA"/>
              </w:rPr>
            </w:pPr>
          </w:p>
          <w:p>
            <w:pPr>
              <w:pStyle w:val="14"/>
              <w:numPr>
                <w:ilvl w:val="0"/>
                <w:numId w:val="2"/>
              </w:num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核查出示有，所管理服务小区的物业管理服务合同；合同里有以附件形式约定的“物业管理服务质量标准”；对管理及服务的设施设备管理、公共环境管理、公共秩序管理的范围和预期结果做出了规定。</w:t>
            </w:r>
          </w:p>
          <w:p>
            <w:pPr>
              <w:pStyle w:val="14"/>
              <w:numPr>
                <w:ilvl w:val="0"/>
                <w:numId w:val="0"/>
              </w:num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——抽物业服</w:t>
            </w:r>
            <w:r>
              <w:rPr>
                <w:rFonts w:hint="eastAsia" w:asciiTheme="minorEastAsia" w:hAnsiTheme="minorEastAsia" w:eastAsiaTheme="minorEastAsia" w:cstheme="minorEastAsia"/>
                <w:kern w:val="2"/>
                <w:sz w:val="24"/>
                <w:szCs w:val="24"/>
                <w:lang w:val="en-US" w:eastAsia="zh-CN" w:bidi="ar-SA"/>
              </w:rPr>
              <w:t xml:space="preserve">务合同；海麟盛景天下小区    </w:t>
            </w:r>
          </w:p>
          <w:p>
            <w:pPr>
              <w:pStyle w:val="14"/>
              <w:numPr>
                <w:ilvl w:val="0"/>
                <w:numId w:val="0"/>
              </w:num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inline distT="0" distB="0" distL="114300" distR="114300">
                  <wp:extent cx="4972050" cy="1135380"/>
                  <wp:effectExtent l="0" t="0" r="1143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972050" cy="1135380"/>
                          </a:xfrm>
                          <a:prstGeom prst="rect">
                            <a:avLst/>
                          </a:prstGeom>
                          <a:noFill/>
                          <a:ln>
                            <a:noFill/>
                          </a:ln>
                        </pic:spPr>
                      </pic:pic>
                    </a:graphicData>
                  </a:graphic>
                </wp:inline>
              </w:drawing>
            </w:r>
          </w:p>
          <w:p>
            <w:pPr>
              <w:pStyle w:val="14"/>
              <w:numPr>
                <w:ilvl w:val="0"/>
                <w:numId w:val="0"/>
              </w:numPr>
              <w:spacing w:line="360" w:lineRule="auto"/>
              <w:rPr>
                <w:rFonts w:hint="default" w:asciiTheme="minorEastAsia" w:hAnsiTheme="minorEastAsia" w:eastAsiaTheme="minorEastAsia" w:cstheme="minorEastAsia"/>
                <w:kern w:val="2"/>
                <w:sz w:val="24"/>
                <w:szCs w:val="24"/>
                <w:lang w:val="en-US" w:eastAsia="zh-CN" w:bidi="ar-SA"/>
              </w:rPr>
            </w:pPr>
            <w:r>
              <w:rPr>
                <w:sz w:val="24"/>
                <w:szCs w:val="24"/>
              </w:rPr>
              <w:drawing>
                <wp:inline distT="0" distB="0" distL="114300" distR="114300">
                  <wp:extent cx="5648325" cy="2827020"/>
                  <wp:effectExtent l="0" t="0" r="5715"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648325" cy="2827020"/>
                          </a:xfrm>
                          <a:prstGeom prst="rect">
                            <a:avLst/>
                          </a:prstGeom>
                          <a:noFill/>
                          <a:ln>
                            <a:noFill/>
                          </a:ln>
                        </pic:spPr>
                      </pic:pic>
                    </a:graphicData>
                  </a:graphic>
                </wp:inline>
              </w:drawing>
            </w:r>
          </w:p>
          <w:p>
            <w:pPr>
              <w:pStyle w:val="14"/>
              <w:numPr>
                <w:ilvl w:val="0"/>
                <w:numId w:val="0"/>
              </w:numPr>
              <w:spacing w:line="360" w:lineRule="auto"/>
              <w:rPr>
                <w:rFonts w:hint="eastAsia" w:asciiTheme="minorEastAsia" w:hAnsiTheme="minorEastAsia" w:eastAsiaTheme="minorEastAsia" w:cstheme="minorEastAsia"/>
                <w:kern w:val="2"/>
                <w:sz w:val="24"/>
                <w:szCs w:val="24"/>
                <w:lang w:val="en-US" w:eastAsia="zh-CN" w:bidi="ar-SA"/>
              </w:rPr>
            </w:pPr>
          </w:p>
          <w:p>
            <w:pPr>
              <w:pStyle w:val="14"/>
              <w:numPr>
                <w:ilvl w:val="0"/>
                <w:numId w:val="2"/>
              </w:numPr>
              <w:spacing w:line="360" w:lineRule="auto"/>
              <w:ind w:left="0" w:leftChars="0" w:firstLine="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核查出示有“基础设施和工作环境控制程序”、“服务提供过程控制程序”、“服务质量监视和测量控制程序”、“住宅小区物业管理公共设施维护管理制度”、“环境管理制度”、“节电管理制度”、“清洁服务标准”、“安全消防制度”，“化学品安全使用管理规定”等共18份执行的程序和管理规定。</w:t>
            </w:r>
          </w:p>
          <w:p>
            <w:pPr>
              <w:pStyle w:val="14"/>
              <w:numPr>
                <w:ilvl w:val="0"/>
                <w:numId w:val="0"/>
              </w:numPr>
              <w:spacing w:line="360" w:lineRule="auto"/>
              <w:ind w:leftChars="0"/>
              <w:rPr>
                <w:rFonts w:hint="eastAsia" w:asciiTheme="minorEastAsia" w:hAnsiTheme="minorEastAsia" w:eastAsiaTheme="minorEastAsia" w:cstheme="minorEastAsia"/>
                <w:kern w:val="2"/>
                <w:sz w:val="24"/>
                <w:szCs w:val="24"/>
                <w:lang w:val="en-US" w:eastAsia="zh-CN" w:bidi="ar-SA"/>
              </w:rPr>
            </w:pPr>
          </w:p>
          <w:p>
            <w:pPr>
              <w:pStyle w:val="14"/>
              <w:numPr>
                <w:ilvl w:val="0"/>
                <w:numId w:val="2"/>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项目部负责人</w:t>
            </w:r>
            <w:r>
              <w:rPr>
                <w:rFonts w:hint="eastAsia" w:asciiTheme="minorEastAsia" w:hAnsiTheme="minorEastAsia" w:eastAsiaTheme="minorEastAsia" w:cstheme="minorEastAsia"/>
                <w:sz w:val="24"/>
                <w:szCs w:val="24"/>
                <w:lang w:val="en-US" w:eastAsia="zh-CN"/>
              </w:rPr>
              <w:t>冯新威介绍，自己从事物业管理服务多年，具有丰富的行业经验；每个项目服务点配备有物业工作室、保安岗亭、消防中控室、水泵房，扫地机、洒水车、喷壶、全套劳保等设施设备；项目点物业工作员工均接受过质量、环保、安全方面的培训。</w:t>
            </w:r>
          </w:p>
          <w:p>
            <w:pPr>
              <w:pStyle w:val="14"/>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p>
          <w:p>
            <w:pPr>
              <w:pStyle w:val="14"/>
              <w:numPr>
                <w:ilvl w:val="0"/>
                <w:numId w:val="2"/>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验其提供的电梯服务外包合同、电梯定期检定报告、水质检测报告、防雷、消电检补充协议等均在有效期内；提供有电工证等有效的人员资质证明；提供有“公共设施维修保养计划表”、“报修、维修记录”、“保洁记录”、“绿化消杀记录”、“巡逻记录”、“工作日志”等全套物业管理服务作业记录。</w:t>
            </w:r>
          </w:p>
          <w:p>
            <w:pPr>
              <w:pStyle w:val="14"/>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p>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——抽“公共设施维修保养计划表”、</w:t>
            </w:r>
          </w:p>
          <w:tbl>
            <w:tblPr>
              <w:tblStyle w:val="8"/>
              <w:tblW w:w="85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305"/>
              <w:gridCol w:w="5782"/>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59" w:type="dxa"/>
                  <w:noWrap w:val="0"/>
                  <w:vAlign w:val="center"/>
                </w:tcPr>
                <w:p>
                  <w:pPr>
                    <w:jc w:val="center"/>
                    <w:rPr>
                      <w:rFonts w:hint="eastAsia"/>
                      <w:sz w:val="24"/>
                      <w:szCs w:val="24"/>
                    </w:rPr>
                  </w:pPr>
                  <w:r>
                    <w:rPr>
                      <w:rFonts w:hint="eastAsia"/>
                      <w:sz w:val="24"/>
                      <w:szCs w:val="24"/>
                    </w:rPr>
                    <w:t>序号</w:t>
                  </w:r>
                </w:p>
              </w:tc>
              <w:tc>
                <w:tcPr>
                  <w:tcW w:w="1305" w:type="dxa"/>
                  <w:noWrap w:val="0"/>
                  <w:vAlign w:val="center"/>
                </w:tcPr>
                <w:p>
                  <w:pPr>
                    <w:jc w:val="center"/>
                    <w:rPr>
                      <w:rFonts w:hint="eastAsia"/>
                      <w:sz w:val="24"/>
                      <w:szCs w:val="24"/>
                    </w:rPr>
                  </w:pPr>
                  <w:r>
                    <w:rPr>
                      <w:rFonts w:hint="eastAsia"/>
                      <w:sz w:val="24"/>
                      <w:szCs w:val="24"/>
                    </w:rPr>
                    <w:t>项目</w:t>
                  </w:r>
                </w:p>
              </w:tc>
              <w:tc>
                <w:tcPr>
                  <w:tcW w:w="5782" w:type="dxa"/>
                  <w:noWrap w:val="0"/>
                  <w:vAlign w:val="center"/>
                </w:tcPr>
                <w:p>
                  <w:pPr>
                    <w:jc w:val="center"/>
                    <w:rPr>
                      <w:rFonts w:hint="eastAsia"/>
                      <w:sz w:val="24"/>
                      <w:szCs w:val="24"/>
                    </w:rPr>
                  </w:pPr>
                  <w:r>
                    <w:rPr>
                      <w:rFonts w:hint="eastAsia"/>
                      <w:sz w:val="24"/>
                      <w:szCs w:val="24"/>
                    </w:rPr>
                    <w:t>维修养护内容</w:t>
                  </w:r>
                </w:p>
              </w:tc>
              <w:tc>
                <w:tcPr>
                  <w:tcW w:w="932" w:type="dxa"/>
                  <w:noWrap w:val="0"/>
                  <w:vAlign w:val="center"/>
                </w:tcPr>
                <w:p>
                  <w:pPr>
                    <w:jc w:val="center"/>
                    <w:rPr>
                      <w:rFonts w:hint="eastAsia"/>
                      <w:sz w:val="24"/>
                      <w:szCs w:val="24"/>
                    </w:rPr>
                  </w:pPr>
                  <w:r>
                    <w:rPr>
                      <w:rFonts w:hint="eastAsia"/>
                      <w:sz w:val="24"/>
                      <w:szCs w:val="24"/>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559" w:type="dxa"/>
                  <w:noWrap w:val="0"/>
                  <w:vAlign w:val="center"/>
                </w:tcPr>
                <w:p>
                  <w:pPr>
                    <w:jc w:val="center"/>
                    <w:rPr>
                      <w:rFonts w:hint="eastAsia"/>
                      <w:sz w:val="24"/>
                      <w:szCs w:val="24"/>
                    </w:rPr>
                  </w:pPr>
                  <w:r>
                    <w:rPr>
                      <w:rFonts w:hint="eastAsia"/>
                      <w:sz w:val="24"/>
                      <w:szCs w:val="24"/>
                    </w:rPr>
                    <w:t>1</w:t>
                  </w:r>
                </w:p>
              </w:tc>
              <w:tc>
                <w:tcPr>
                  <w:tcW w:w="1305" w:type="dxa"/>
                  <w:noWrap w:val="0"/>
                  <w:vAlign w:val="center"/>
                </w:tcPr>
                <w:p>
                  <w:pPr>
                    <w:jc w:val="center"/>
                    <w:rPr>
                      <w:rFonts w:hint="eastAsia"/>
                      <w:sz w:val="24"/>
                      <w:szCs w:val="24"/>
                    </w:rPr>
                  </w:pPr>
                  <w:r>
                    <w:rPr>
                      <w:rFonts w:hint="eastAsia"/>
                      <w:sz w:val="24"/>
                      <w:szCs w:val="24"/>
                    </w:rPr>
                    <w:t>路面路基</w:t>
                  </w:r>
                </w:p>
              </w:tc>
              <w:tc>
                <w:tcPr>
                  <w:tcW w:w="5782" w:type="dxa"/>
                  <w:noWrap w:val="0"/>
                  <w:vAlign w:val="top"/>
                </w:tcPr>
                <w:p>
                  <w:pPr>
                    <w:numPr>
                      <w:ilvl w:val="0"/>
                      <w:numId w:val="3"/>
                    </w:numPr>
                    <w:rPr>
                      <w:rFonts w:hint="eastAsia"/>
                      <w:sz w:val="24"/>
                      <w:szCs w:val="24"/>
                    </w:rPr>
                  </w:pPr>
                  <w:r>
                    <w:rPr>
                      <w:rFonts w:hint="eastAsia"/>
                      <w:sz w:val="24"/>
                      <w:szCs w:val="24"/>
                    </w:rPr>
                    <w:t>检查路面有无积水。</w:t>
                  </w:r>
                </w:p>
                <w:p>
                  <w:pPr>
                    <w:numPr>
                      <w:ilvl w:val="0"/>
                      <w:numId w:val="3"/>
                    </w:numPr>
                    <w:rPr>
                      <w:rFonts w:hint="eastAsia"/>
                      <w:sz w:val="24"/>
                      <w:szCs w:val="24"/>
                    </w:rPr>
                  </w:pPr>
                  <w:r>
                    <w:rPr>
                      <w:rFonts w:hint="eastAsia"/>
                      <w:sz w:val="24"/>
                      <w:szCs w:val="24"/>
                    </w:rPr>
                    <w:t>检查道路路面有无起砂，地鼓、裂缝。</w:t>
                  </w:r>
                </w:p>
                <w:p>
                  <w:pPr>
                    <w:numPr>
                      <w:ilvl w:val="0"/>
                      <w:numId w:val="3"/>
                    </w:numPr>
                    <w:rPr>
                      <w:rFonts w:hint="eastAsia"/>
                      <w:sz w:val="24"/>
                      <w:szCs w:val="24"/>
                    </w:rPr>
                  </w:pPr>
                  <w:r>
                    <w:rPr>
                      <w:rFonts w:hint="eastAsia"/>
                      <w:sz w:val="24"/>
                      <w:szCs w:val="24"/>
                    </w:rPr>
                    <w:t>检查路基有无塌陷。</w:t>
                  </w:r>
                </w:p>
                <w:p>
                  <w:pPr>
                    <w:numPr>
                      <w:ilvl w:val="0"/>
                      <w:numId w:val="3"/>
                    </w:numPr>
                    <w:rPr>
                      <w:rFonts w:hint="eastAsia"/>
                      <w:sz w:val="24"/>
                      <w:szCs w:val="24"/>
                    </w:rPr>
                  </w:pPr>
                  <w:r>
                    <w:rPr>
                      <w:rFonts w:hint="eastAsia"/>
                      <w:sz w:val="24"/>
                      <w:szCs w:val="24"/>
                    </w:rPr>
                    <w:t>发现异常及时处理或修复。</w:t>
                  </w:r>
                </w:p>
              </w:tc>
              <w:tc>
                <w:tcPr>
                  <w:tcW w:w="932" w:type="dxa"/>
                  <w:noWrap w:val="0"/>
                  <w:vAlign w:val="center"/>
                </w:tcPr>
                <w:p>
                  <w:pPr>
                    <w:jc w:val="center"/>
                    <w:rPr>
                      <w:rFonts w:hint="eastAsia"/>
                      <w:sz w:val="24"/>
                      <w:szCs w:val="24"/>
                    </w:rPr>
                  </w:pPr>
                  <w:r>
                    <w:rPr>
                      <w:rFonts w:hint="eastAsia"/>
                      <w:sz w:val="24"/>
                      <w:szCs w:val="24"/>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59" w:type="dxa"/>
                  <w:vMerge w:val="restart"/>
                  <w:noWrap w:val="0"/>
                  <w:vAlign w:val="center"/>
                </w:tcPr>
                <w:p>
                  <w:pPr>
                    <w:jc w:val="center"/>
                    <w:rPr>
                      <w:rFonts w:hint="eastAsia"/>
                      <w:sz w:val="24"/>
                      <w:szCs w:val="24"/>
                    </w:rPr>
                  </w:pPr>
                  <w:r>
                    <w:rPr>
                      <w:rFonts w:hint="eastAsia"/>
                      <w:sz w:val="24"/>
                      <w:szCs w:val="24"/>
                    </w:rPr>
                    <w:t>2</w:t>
                  </w:r>
                </w:p>
              </w:tc>
              <w:tc>
                <w:tcPr>
                  <w:tcW w:w="1305" w:type="dxa"/>
                  <w:vMerge w:val="restart"/>
                  <w:noWrap w:val="0"/>
                  <w:vAlign w:val="center"/>
                </w:tcPr>
                <w:p>
                  <w:pPr>
                    <w:jc w:val="center"/>
                    <w:rPr>
                      <w:rFonts w:hint="eastAsia"/>
                      <w:sz w:val="24"/>
                      <w:szCs w:val="24"/>
                    </w:rPr>
                  </w:pPr>
                  <w:r>
                    <w:rPr>
                      <w:rFonts w:hint="eastAsia"/>
                      <w:sz w:val="24"/>
                      <w:szCs w:val="24"/>
                    </w:rPr>
                    <w:t>路灯及线路</w:t>
                  </w:r>
                </w:p>
              </w:tc>
              <w:tc>
                <w:tcPr>
                  <w:tcW w:w="5782" w:type="dxa"/>
                  <w:noWrap w:val="0"/>
                  <w:vAlign w:val="top"/>
                </w:tcPr>
                <w:p>
                  <w:pPr>
                    <w:rPr>
                      <w:rFonts w:hint="eastAsia"/>
                      <w:sz w:val="24"/>
                      <w:szCs w:val="24"/>
                    </w:rPr>
                  </w:pPr>
                  <w:r>
                    <w:rPr>
                      <w:rFonts w:hint="eastAsia"/>
                      <w:sz w:val="24"/>
                      <w:szCs w:val="24"/>
                    </w:rPr>
                    <w:t>1）检查灯具完好情况，做到及时维修</w:t>
                  </w:r>
                </w:p>
              </w:tc>
              <w:tc>
                <w:tcPr>
                  <w:tcW w:w="932" w:type="dxa"/>
                  <w:noWrap w:val="0"/>
                  <w:vAlign w:val="center"/>
                </w:tcPr>
                <w:p>
                  <w:pPr>
                    <w:jc w:val="center"/>
                    <w:rPr>
                      <w:rFonts w:hint="eastAsia"/>
                      <w:sz w:val="24"/>
                      <w:szCs w:val="24"/>
                    </w:rPr>
                  </w:pPr>
                  <w:r>
                    <w:rPr>
                      <w:rFonts w:hint="eastAsia"/>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559" w:type="dxa"/>
                  <w:vMerge w:val="continue"/>
                  <w:noWrap w:val="0"/>
                  <w:vAlign w:val="top"/>
                </w:tcPr>
                <w:p>
                  <w:pPr>
                    <w:rPr>
                      <w:rFonts w:hint="eastAsia"/>
                      <w:sz w:val="24"/>
                      <w:szCs w:val="24"/>
                    </w:rPr>
                  </w:pPr>
                </w:p>
              </w:tc>
              <w:tc>
                <w:tcPr>
                  <w:tcW w:w="1305" w:type="dxa"/>
                  <w:vMerge w:val="continue"/>
                  <w:noWrap w:val="0"/>
                  <w:vAlign w:val="top"/>
                </w:tcPr>
                <w:p>
                  <w:pPr>
                    <w:rPr>
                      <w:rFonts w:hint="eastAsia"/>
                      <w:sz w:val="24"/>
                      <w:szCs w:val="24"/>
                    </w:rPr>
                  </w:pPr>
                </w:p>
              </w:tc>
              <w:tc>
                <w:tcPr>
                  <w:tcW w:w="5782" w:type="dxa"/>
                  <w:noWrap w:val="0"/>
                  <w:vAlign w:val="top"/>
                </w:tcPr>
                <w:p>
                  <w:pPr>
                    <w:numPr>
                      <w:ilvl w:val="0"/>
                      <w:numId w:val="4"/>
                    </w:numPr>
                    <w:rPr>
                      <w:rFonts w:hint="eastAsia"/>
                      <w:sz w:val="24"/>
                      <w:szCs w:val="24"/>
                    </w:rPr>
                  </w:pPr>
                  <w:r>
                    <w:rPr>
                      <w:rFonts w:hint="eastAsia"/>
                      <w:sz w:val="24"/>
                      <w:szCs w:val="24"/>
                    </w:rPr>
                    <w:t>检查玻璃灯罩有无破损。</w:t>
                  </w:r>
                </w:p>
                <w:p>
                  <w:pPr>
                    <w:numPr>
                      <w:ilvl w:val="0"/>
                      <w:numId w:val="4"/>
                    </w:numPr>
                    <w:rPr>
                      <w:rFonts w:hint="eastAsia"/>
                      <w:sz w:val="24"/>
                      <w:szCs w:val="24"/>
                    </w:rPr>
                  </w:pPr>
                  <w:r>
                    <w:rPr>
                      <w:rFonts w:hint="eastAsia"/>
                      <w:sz w:val="24"/>
                      <w:szCs w:val="24"/>
                    </w:rPr>
                    <w:t>检查金属灯架有无松脱。</w:t>
                  </w:r>
                </w:p>
                <w:p>
                  <w:pPr>
                    <w:numPr>
                      <w:ilvl w:val="0"/>
                      <w:numId w:val="4"/>
                    </w:numPr>
                    <w:rPr>
                      <w:rFonts w:hint="eastAsia"/>
                      <w:sz w:val="24"/>
                      <w:szCs w:val="24"/>
                    </w:rPr>
                  </w:pPr>
                  <w:r>
                    <w:rPr>
                      <w:rFonts w:hint="eastAsia"/>
                      <w:sz w:val="24"/>
                      <w:szCs w:val="24"/>
                    </w:rPr>
                    <w:t>灯口、灯珊有无损坏。</w:t>
                  </w:r>
                </w:p>
              </w:tc>
              <w:tc>
                <w:tcPr>
                  <w:tcW w:w="932" w:type="dxa"/>
                  <w:noWrap w:val="0"/>
                  <w:vAlign w:val="center"/>
                </w:tcPr>
                <w:p>
                  <w:pPr>
                    <w:jc w:val="center"/>
                    <w:rPr>
                      <w:rFonts w:hint="eastAsia"/>
                      <w:sz w:val="24"/>
                      <w:szCs w:val="24"/>
                    </w:rPr>
                  </w:pPr>
                  <w:r>
                    <w:rPr>
                      <w:rFonts w:hint="eastAsia"/>
                      <w:sz w:val="24"/>
                      <w:szCs w:val="24"/>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559" w:type="dxa"/>
                  <w:vMerge w:val="continue"/>
                  <w:noWrap w:val="0"/>
                  <w:vAlign w:val="top"/>
                </w:tcPr>
                <w:p>
                  <w:pPr>
                    <w:rPr>
                      <w:rFonts w:hint="eastAsia"/>
                      <w:sz w:val="24"/>
                      <w:szCs w:val="24"/>
                    </w:rPr>
                  </w:pPr>
                </w:p>
              </w:tc>
              <w:tc>
                <w:tcPr>
                  <w:tcW w:w="1305" w:type="dxa"/>
                  <w:vMerge w:val="continue"/>
                  <w:noWrap w:val="0"/>
                  <w:vAlign w:val="top"/>
                </w:tcPr>
                <w:p>
                  <w:pPr>
                    <w:rPr>
                      <w:rFonts w:hint="eastAsia"/>
                      <w:sz w:val="24"/>
                      <w:szCs w:val="24"/>
                    </w:rPr>
                  </w:pPr>
                </w:p>
              </w:tc>
              <w:tc>
                <w:tcPr>
                  <w:tcW w:w="5782" w:type="dxa"/>
                  <w:noWrap w:val="0"/>
                  <w:vAlign w:val="top"/>
                </w:tcPr>
                <w:p>
                  <w:pPr>
                    <w:numPr>
                      <w:ilvl w:val="0"/>
                      <w:numId w:val="5"/>
                    </w:numPr>
                    <w:rPr>
                      <w:rFonts w:hint="eastAsia"/>
                      <w:sz w:val="24"/>
                      <w:szCs w:val="24"/>
                    </w:rPr>
                  </w:pPr>
                  <w:r>
                    <w:rPr>
                      <w:rFonts w:hint="eastAsia"/>
                      <w:sz w:val="24"/>
                      <w:szCs w:val="24"/>
                    </w:rPr>
                    <w:t>检查路灯线路有无漏电、短路、现象。</w:t>
                  </w:r>
                </w:p>
                <w:p>
                  <w:pPr>
                    <w:numPr>
                      <w:ilvl w:val="0"/>
                      <w:numId w:val="5"/>
                    </w:numPr>
                    <w:rPr>
                      <w:rFonts w:hint="eastAsia"/>
                      <w:sz w:val="24"/>
                      <w:szCs w:val="24"/>
                    </w:rPr>
                  </w:pPr>
                  <w:r>
                    <w:rPr>
                      <w:rFonts w:hint="eastAsia"/>
                      <w:sz w:val="24"/>
                      <w:szCs w:val="24"/>
                    </w:rPr>
                    <w:t>金属灯架有无锈蚀。</w:t>
                  </w:r>
                </w:p>
                <w:p>
                  <w:pPr>
                    <w:numPr>
                      <w:ilvl w:val="0"/>
                      <w:numId w:val="5"/>
                    </w:numPr>
                    <w:rPr>
                      <w:rFonts w:hint="eastAsia"/>
                      <w:sz w:val="24"/>
                      <w:szCs w:val="24"/>
                    </w:rPr>
                  </w:pPr>
                  <w:r>
                    <w:rPr>
                      <w:rFonts w:hint="eastAsia"/>
                      <w:sz w:val="24"/>
                      <w:szCs w:val="24"/>
                    </w:rPr>
                    <w:t>发现异常及时处理或修复。</w:t>
                  </w:r>
                </w:p>
                <w:p>
                  <w:pPr>
                    <w:rPr>
                      <w:rFonts w:hint="eastAsia"/>
                      <w:sz w:val="24"/>
                      <w:szCs w:val="24"/>
                    </w:rPr>
                  </w:pPr>
                </w:p>
              </w:tc>
              <w:tc>
                <w:tcPr>
                  <w:tcW w:w="932" w:type="dxa"/>
                  <w:noWrap w:val="0"/>
                  <w:vAlign w:val="center"/>
                </w:tcPr>
                <w:p>
                  <w:pPr>
                    <w:jc w:val="center"/>
                    <w:rPr>
                      <w:rFonts w:hint="eastAsia"/>
                      <w:sz w:val="24"/>
                      <w:szCs w:val="24"/>
                    </w:rPr>
                  </w:pPr>
                  <w:r>
                    <w:rPr>
                      <w:rFonts w:hint="eastAsia"/>
                      <w:sz w:val="24"/>
                      <w:szCs w:val="24"/>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559" w:type="dxa"/>
                  <w:vMerge w:val="continue"/>
                  <w:noWrap w:val="0"/>
                  <w:vAlign w:val="top"/>
                </w:tcPr>
                <w:p>
                  <w:pPr>
                    <w:rPr>
                      <w:rFonts w:hint="eastAsia"/>
                      <w:sz w:val="24"/>
                      <w:szCs w:val="24"/>
                    </w:rPr>
                  </w:pPr>
                </w:p>
              </w:tc>
              <w:tc>
                <w:tcPr>
                  <w:tcW w:w="1305" w:type="dxa"/>
                  <w:vMerge w:val="continue"/>
                  <w:noWrap w:val="0"/>
                  <w:vAlign w:val="top"/>
                </w:tcPr>
                <w:p>
                  <w:pPr>
                    <w:rPr>
                      <w:rFonts w:hint="eastAsia"/>
                      <w:sz w:val="24"/>
                      <w:szCs w:val="24"/>
                    </w:rPr>
                  </w:pPr>
                </w:p>
              </w:tc>
              <w:tc>
                <w:tcPr>
                  <w:tcW w:w="5782" w:type="dxa"/>
                  <w:noWrap w:val="0"/>
                  <w:vAlign w:val="top"/>
                </w:tcPr>
                <w:p>
                  <w:pPr>
                    <w:numPr>
                      <w:ilvl w:val="0"/>
                      <w:numId w:val="6"/>
                    </w:numPr>
                    <w:rPr>
                      <w:rFonts w:hint="eastAsia"/>
                      <w:sz w:val="24"/>
                      <w:szCs w:val="24"/>
                    </w:rPr>
                  </w:pPr>
                  <w:r>
                    <w:rPr>
                      <w:rFonts w:hint="eastAsia"/>
                      <w:sz w:val="24"/>
                      <w:szCs w:val="24"/>
                    </w:rPr>
                    <w:t>油漆灯具支架。</w:t>
                  </w:r>
                </w:p>
                <w:p>
                  <w:pPr>
                    <w:numPr>
                      <w:ilvl w:val="0"/>
                      <w:numId w:val="6"/>
                    </w:numPr>
                    <w:rPr>
                      <w:rFonts w:hint="eastAsia"/>
                      <w:sz w:val="24"/>
                      <w:szCs w:val="24"/>
                    </w:rPr>
                  </w:pPr>
                  <w:r>
                    <w:rPr>
                      <w:rFonts w:hint="eastAsia"/>
                      <w:sz w:val="24"/>
                      <w:szCs w:val="24"/>
                    </w:rPr>
                    <w:t>检查路灯线路有无老化现象。</w:t>
                  </w:r>
                </w:p>
                <w:p>
                  <w:pPr>
                    <w:rPr>
                      <w:rFonts w:hint="eastAsia"/>
                      <w:sz w:val="24"/>
                      <w:szCs w:val="24"/>
                    </w:rPr>
                  </w:pPr>
                </w:p>
              </w:tc>
              <w:tc>
                <w:tcPr>
                  <w:tcW w:w="932" w:type="dxa"/>
                  <w:noWrap w:val="0"/>
                  <w:vAlign w:val="center"/>
                </w:tcPr>
                <w:p>
                  <w:pPr>
                    <w:jc w:val="center"/>
                    <w:rPr>
                      <w:rFonts w:hint="eastAsia"/>
                      <w:sz w:val="24"/>
                      <w:szCs w:val="24"/>
                    </w:rPr>
                  </w:pPr>
                  <w:r>
                    <w:rPr>
                      <w:rFonts w:hint="eastAsia"/>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559" w:type="dxa"/>
                  <w:noWrap w:val="0"/>
                  <w:vAlign w:val="center"/>
                </w:tcPr>
                <w:p>
                  <w:pPr>
                    <w:jc w:val="center"/>
                    <w:rPr>
                      <w:rFonts w:hint="eastAsia"/>
                      <w:sz w:val="24"/>
                      <w:szCs w:val="24"/>
                    </w:rPr>
                  </w:pPr>
                  <w:r>
                    <w:rPr>
                      <w:rFonts w:hint="eastAsia"/>
                      <w:sz w:val="24"/>
                      <w:szCs w:val="24"/>
                    </w:rPr>
                    <w:t>3</w:t>
                  </w:r>
                </w:p>
              </w:tc>
              <w:tc>
                <w:tcPr>
                  <w:tcW w:w="1305" w:type="dxa"/>
                  <w:noWrap w:val="0"/>
                  <w:vAlign w:val="center"/>
                </w:tcPr>
                <w:p>
                  <w:pPr>
                    <w:jc w:val="center"/>
                    <w:rPr>
                      <w:rFonts w:hint="default" w:eastAsia="宋体"/>
                      <w:sz w:val="24"/>
                      <w:szCs w:val="24"/>
                      <w:lang w:val="en-US" w:eastAsia="zh-CN"/>
                    </w:rPr>
                  </w:pPr>
                  <w:r>
                    <w:rPr>
                      <w:rFonts w:hint="eastAsia"/>
                      <w:sz w:val="24"/>
                      <w:szCs w:val="24"/>
                      <w:lang w:val="en-US" w:eastAsia="zh-CN"/>
                    </w:rPr>
                    <w:t>消防通道及器材</w:t>
                  </w:r>
                </w:p>
              </w:tc>
              <w:tc>
                <w:tcPr>
                  <w:tcW w:w="5782" w:type="dxa"/>
                  <w:noWrap w:val="0"/>
                  <w:vAlign w:val="top"/>
                </w:tcPr>
                <w:p>
                  <w:pPr>
                    <w:numPr>
                      <w:ilvl w:val="0"/>
                      <w:numId w:val="7"/>
                    </w:numPr>
                    <w:rPr>
                      <w:rFonts w:hint="eastAsia"/>
                      <w:sz w:val="24"/>
                      <w:szCs w:val="24"/>
                    </w:rPr>
                  </w:pPr>
                  <w:r>
                    <w:rPr>
                      <w:rFonts w:hint="eastAsia"/>
                      <w:sz w:val="24"/>
                      <w:szCs w:val="24"/>
                    </w:rPr>
                    <w:t>检查</w:t>
                  </w:r>
                  <w:r>
                    <w:rPr>
                      <w:rFonts w:hint="eastAsia"/>
                      <w:sz w:val="24"/>
                      <w:szCs w:val="24"/>
                      <w:lang w:val="en-US" w:eastAsia="zh-CN"/>
                    </w:rPr>
                    <w:t>应急通道是否通畅有无堵塞</w:t>
                  </w:r>
                  <w:r>
                    <w:rPr>
                      <w:rFonts w:hint="eastAsia"/>
                      <w:sz w:val="24"/>
                      <w:szCs w:val="24"/>
                    </w:rPr>
                    <w:t>。</w:t>
                  </w:r>
                </w:p>
                <w:p>
                  <w:pPr>
                    <w:numPr>
                      <w:ilvl w:val="0"/>
                      <w:numId w:val="7"/>
                    </w:numPr>
                    <w:rPr>
                      <w:rFonts w:hint="eastAsia"/>
                      <w:sz w:val="24"/>
                      <w:szCs w:val="24"/>
                    </w:rPr>
                  </w:pPr>
                  <w:r>
                    <w:rPr>
                      <w:rFonts w:hint="eastAsia"/>
                      <w:sz w:val="24"/>
                      <w:szCs w:val="24"/>
                    </w:rPr>
                    <w:t>检查</w:t>
                  </w:r>
                  <w:r>
                    <w:rPr>
                      <w:rFonts w:hint="eastAsia"/>
                      <w:sz w:val="24"/>
                      <w:szCs w:val="24"/>
                      <w:lang w:val="en-US" w:eastAsia="zh-CN"/>
                    </w:rPr>
                    <w:t>消防器材是否在有效期内</w:t>
                  </w:r>
                  <w:r>
                    <w:rPr>
                      <w:rFonts w:hint="eastAsia"/>
                      <w:sz w:val="24"/>
                      <w:szCs w:val="24"/>
                    </w:rPr>
                    <w:t>。</w:t>
                  </w:r>
                </w:p>
                <w:p>
                  <w:pPr>
                    <w:numPr>
                      <w:ilvl w:val="0"/>
                      <w:numId w:val="7"/>
                    </w:numPr>
                    <w:rPr>
                      <w:rFonts w:hint="eastAsia"/>
                      <w:sz w:val="24"/>
                      <w:szCs w:val="24"/>
                    </w:rPr>
                  </w:pPr>
                  <w:r>
                    <w:rPr>
                      <w:rFonts w:hint="eastAsia"/>
                      <w:sz w:val="24"/>
                      <w:szCs w:val="24"/>
                    </w:rPr>
                    <w:t>检查</w:t>
                  </w:r>
                  <w:r>
                    <w:rPr>
                      <w:rFonts w:hint="eastAsia"/>
                      <w:sz w:val="24"/>
                      <w:szCs w:val="24"/>
                      <w:lang w:val="en-US" w:eastAsia="zh-CN"/>
                    </w:rPr>
                    <w:t>应急</w:t>
                  </w:r>
                  <w:r>
                    <w:rPr>
                      <w:rFonts w:hint="eastAsia"/>
                      <w:sz w:val="24"/>
                      <w:szCs w:val="24"/>
                    </w:rPr>
                    <w:t>灯有无损坏。</w:t>
                  </w:r>
                </w:p>
                <w:p>
                  <w:pPr>
                    <w:numPr>
                      <w:ilvl w:val="0"/>
                      <w:numId w:val="7"/>
                    </w:numPr>
                    <w:rPr>
                      <w:rFonts w:hint="eastAsia"/>
                      <w:sz w:val="24"/>
                      <w:szCs w:val="24"/>
                    </w:rPr>
                  </w:pPr>
                  <w:r>
                    <w:rPr>
                      <w:rFonts w:hint="eastAsia"/>
                      <w:sz w:val="24"/>
                      <w:szCs w:val="24"/>
                    </w:rPr>
                    <w:t>检查</w:t>
                  </w:r>
                  <w:r>
                    <w:rPr>
                      <w:rFonts w:hint="eastAsia"/>
                      <w:sz w:val="24"/>
                      <w:szCs w:val="24"/>
                      <w:lang w:val="en-US" w:eastAsia="zh-CN"/>
                    </w:rPr>
                    <w:t>应急</w:t>
                  </w:r>
                  <w:r>
                    <w:rPr>
                      <w:rFonts w:hint="eastAsia"/>
                      <w:sz w:val="24"/>
                      <w:szCs w:val="24"/>
                    </w:rPr>
                    <w:t>指示标志是否正常。</w:t>
                  </w:r>
                </w:p>
              </w:tc>
              <w:tc>
                <w:tcPr>
                  <w:tcW w:w="932" w:type="dxa"/>
                  <w:noWrap w:val="0"/>
                  <w:vAlign w:val="center"/>
                </w:tcPr>
                <w:p>
                  <w:pPr>
                    <w:jc w:val="center"/>
                    <w:rPr>
                      <w:rFonts w:hint="eastAsia" w:eastAsia="宋体"/>
                      <w:sz w:val="24"/>
                      <w:szCs w:val="24"/>
                      <w:lang w:eastAsia="zh-CN"/>
                    </w:rPr>
                  </w:pPr>
                  <w:r>
                    <w:rPr>
                      <w:rFonts w:hint="eastAsia"/>
                      <w:sz w:val="24"/>
                      <w:szCs w:val="24"/>
                      <w:lang w:val="en-US"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559" w:type="dxa"/>
                  <w:vMerge w:val="restart"/>
                  <w:noWrap w:val="0"/>
                  <w:vAlign w:val="center"/>
                </w:tcPr>
                <w:p>
                  <w:pPr>
                    <w:jc w:val="center"/>
                    <w:rPr>
                      <w:rFonts w:hint="eastAsia"/>
                      <w:sz w:val="24"/>
                      <w:szCs w:val="24"/>
                    </w:rPr>
                  </w:pPr>
                  <w:r>
                    <w:rPr>
                      <w:rFonts w:hint="eastAsia"/>
                      <w:sz w:val="24"/>
                      <w:szCs w:val="24"/>
                    </w:rPr>
                    <w:t>4</w:t>
                  </w:r>
                </w:p>
              </w:tc>
              <w:tc>
                <w:tcPr>
                  <w:tcW w:w="1305" w:type="dxa"/>
                  <w:vMerge w:val="restart"/>
                  <w:noWrap w:val="0"/>
                  <w:vAlign w:val="center"/>
                </w:tcPr>
                <w:p>
                  <w:pPr>
                    <w:jc w:val="center"/>
                    <w:rPr>
                      <w:rFonts w:hint="eastAsia"/>
                      <w:sz w:val="24"/>
                      <w:szCs w:val="24"/>
                    </w:rPr>
                  </w:pPr>
                  <w:r>
                    <w:rPr>
                      <w:rFonts w:hint="eastAsia"/>
                      <w:sz w:val="24"/>
                      <w:szCs w:val="24"/>
                    </w:rPr>
                    <w:t>沟渠池井</w:t>
                  </w:r>
                </w:p>
              </w:tc>
              <w:tc>
                <w:tcPr>
                  <w:tcW w:w="5782" w:type="dxa"/>
                  <w:noWrap w:val="0"/>
                  <w:vAlign w:val="top"/>
                </w:tcPr>
                <w:p>
                  <w:pPr>
                    <w:numPr>
                      <w:ilvl w:val="0"/>
                      <w:numId w:val="8"/>
                    </w:numPr>
                    <w:rPr>
                      <w:rFonts w:hint="eastAsia"/>
                      <w:sz w:val="24"/>
                      <w:szCs w:val="24"/>
                    </w:rPr>
                  </w:pPr>
                  <w:r>
                    <w:rPr>
                      <w:rFonts w:hint="eastAsia"/>
                      <w:sz w:val="24"/>
                      <w:szCs w:val="24"/>
                    </w:rPr>
                    <w:t>检查沟渠有无堵塞现象，如有异常及时疏通。</w:t>
                  </w:r>
                </w:p>
                <w:p>
                  <w:pPr>
                    <w:numPr>
                      <w:ilvl w:val="0"/>
                      <w:numId w:val="8"/>
                    </w:numPr>
                    <w:rPr>
                      <w:rFonts w:hint="eastAsia"/>
                      <w:sz w:val="24"/>
                      <w:szCs w:val="24"/>
                    </w:rPr>
                  </w:pPr>
                  <w:r>
                    <w:rPr>
                      <w:rFonts w:hint="eastAsia"/>
                      <w:sz w:val="24"/>
                      <w:szCs w:val="24"/>
                    </w:rPr>
                    <w:t>检查沟渠是否完好，如有异常及时修复。</w:t>
                  </w:r>
                </w:p>
                <w:p>
                  <w:pPr>
                    <w:rPr>
                      <w:rFonts w:hint="eastAsia"/>
                      <w:sz w:val="24"/>
                      <w:szCs w:val="24"/>
                    </w:rPr>
                  </w:pPr>
                </w:p>
              </w:tc>
              <w:tc>
                <w:tcPr>
                  <w:tcW w:w="932" w:type="dxa"/>
                  <w:noWrap w:val="0"/>
                  <w:vAlign w:val="center"/>
                </w:tcPr>
                <w:p>
                  <w:pPr>
                    <w:jc w:val="center"/>
                    <w:rPr>
                      <w:rFonts w:hint="eastAsia"/>
                      <w:sz w:val="24"/>
                      <w:szCs w:val="24"/>
                    </w:rPr>
                  </w:pPr>
                  <w:r>
                    <w:rPr>
                      <w:rFonts w:hint="eastAsia"/>
                      <w:sz w:val="24"/>
                      <w:szCs w:val="24"/>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559" w:type="dxa"/>
                  <w:vMerge w:val="continue"/>
                  <w:noWrap w:val="0"/>
                  <w:vAlign w:val="top"/>
                </w:tcPr>
                <w:p>
                  <w:pPr>
                    <w:rPr>
                      <w:rFonts w:hint="eastAsia"/>
                      <w:sz w:val="24"/>
                      <w:szCs w:val="24"/>
                    </w:rPr>
                  </w:pPr>
                </w:p>
              </w:tc>
              <w:tc>
                <w:tcPr>
                  <w:tcW w:w="1305" w:type="dxa"/>
                  <w:vMerge w:val="continue"/>
                  <w:noWrap w:val="0"/>
                  <w:vAlign w:val="top"/>
                </w:tcPr>
                <w:p>
                  <w:pPr>
                    <w:rPr>
                      <w:rFonts w:hint="eastAsia"/>
                      <w:sz w:val="24"/>
                      <w:szCs w:val="24"/>
                    </w:rPr>
                  </w:pPr>
                </w:p>
              </w:tc>
              <w:tc>
                <w:tcPr>
                  <w:tcW w:w="5782" w:type="dxa"/>
                  <w:noWrap w:val="0"/>
                  <w:vAlign w:val="top"/>
                </w:tcPr>
                <w:p>
                  <w:pPr>
                    <w:numPr>
                      <w:ilvl w:val="0"/>
                      <w:numId w:val="9"/>
                    </w:numPr>
                    <w:rPr>
                      <w:rFonts w:hint="eastAsia"/>
                      <w:sz w:val="24"/>
                      <w:szCs w:val="24"/>
                    </w:rPr>
                  </w:pPr>
                  <w:r>
                    <w:rPr>
                      <w:rFonts w:hint="eastAsia"/>
                      <w:sz w:val="24"/>
                      <w:szCs w:val="24"/>
                    </w:rPr>
                    <w:t>检查井底及池底是否有污物沉积，如有沉积及时清除。</w:t>
                  </w:r>
                </w:p>
                <w:p>
                  <w:pPr>
                    <w:numPr>
                      <w:ilvl w:val="0"/>
                      <w:numId w:val="9"/>
                    </w:numPr>
                    <w:rPr>
                      <w:rFonts w:hint="eastAsia"/>
                      <w:sz w:val="24"/>
                      <w:szCs w:val="24"/>
                    </w:rPr>
                  </w:pPr>
                  <w:r>
                    <w:rPr>
                      <w:rFonts w:hint="eastAsia"/>
                      <w:sz w:val="24"/>
                      <w:szCs w:val="24"/>
                    </w:rPr>
                    <w:t>检查井壁有无裂缝及塌陷，如有异常及时修复。</w:t>
                  </w:r>
                </w:p>
                <w:p>
                  <w:pPr>
                    <w:numPr>
                      <w:ilvl w:val="0"/>
                      <w:numId w:val="9"/>
                    </w:numPr>
                    <w:rPr>
                      <w:rFonts w:hint="eastAsia"/>
                      <w:sz w:val="24"/>
                      <w:szCs w:val="24"/>
                    </w:rPr>
                  </w:pPr>
                  <w:r>
                    <w:rPr>
                      <w:rFonts w:hint="eastAsia"/>
                      <w:sz w:val="24"/>
                      <w:szCs w:val="24"/>
                    </w:rPr>
                    <w:t>检查井盖完好程度，发现损坏及时修复或更换。</w:t>
                  </w:r>
                </w:p>
              </w:tc>
              <w:tc>
                <w:tcPr>
                  <w:tcW w:w="932" w:type="dxa"/>
                  <w:noWrap w:val="0"/>
                  <w:vAlign w:val="center"/>
                </w:tcPr>
                <w:p>
                  <w:pPr>
                    <w:jc w:val="center"/>
                    <w:rPr>
                      <w:rFonts w:hint="eastAsia"/>
                      <w:sz w:val="24"/>
                      <w:szCs w:val="24"/>
                    </w:rPr>
                  </w:pPr>
                  <w:r>
                    <w:rPr>
                      <w:rFonts w:hint="eastAsia"/>
                      <w:sz w:val="24"/>
                      <w:szCs w:val="24"/>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59" w:type="dxa"/>
                  <w:vMerge w:val="continue"/>
                  <w:noWrap w:val="0"/>
                  <w:vAlign w:val="top"/>
                </w:tcPr>
                <w:p>
                  <w:pPr>
                    <w:rPr>
                      <w:rFonts w:hint="eastAsia"/>
                      <w:sz w:val="24"/>
                      <w:szCs w:val="24"/>
                    </w:rPr>
                  </w:pPr>
                </w:p>
              </w:tc>
              <w:tc>
                <w:tcPr>
                  <w:tcW w:w="1305" w:type="dxa"/>
                  <w:vMerge w:val="continue"/>
                  <w:noWrap w:val="0"/>
                  <w:vAlign w:val="top"/>
                </w:tcPr>
                <w:p>
                  <w:pPr>
                    <w:rPr>
                      <w:rFonts w:hint="eastAsia"/>
                      <w:sz w:val="24"/>
                      <w:szCs w:val="24"/>
                    </w:rPr>
                  </w:pPr>
                </w:p>
              </w:tc>
              <w:tc>
                <w:tcPr>
                  <w:tcW w:w="5782" w:type="dxa"/>
                  <w:noWrap w:val="0"/>
                  <w:vAlign w:val="top"/>
                </w:tcPr>
                <w:p>
                  <w:pPr>
                    <w:rPr>
                      <w:rFonts w:hint="eastAsia"/>
                      <w:sz w:val="24"/>
                      <w:szCs w:val="24"/>
                    </w:rPr>
                  </w:pPr>
                  <w:r>
                    <w:rPr>
                      <w:rFonts w:hint="eastAsia"/>
                      <w:sz w:val="24"/>
                      <w:szCs w:val="24"/>
                    </w:rPr>
                    <w:t>1）油漆护栏。</w:t>
                  </w:r>
                </w:p>
                <w:p>
                  <w:pPr>
                    <w:rPr>
                      <w:rFonts w:hint="eastAsia"/>
                      <w:sz w:val="24"/>
                      <w:szCs w:val="24"/>
                    </w:rPr>
                  </w:pPr>
                </w:p>
              </w:tc>
              <w:tc>
                <w:tcPr>
                  <w:tcW w:w="932" w:type="dxa"/>
                  <w:noWrap w:val="0"/>
                  <w:vAlign w:val="center"/>
                </w:tcPr>
                <w:p>
                  <w:pPr>
                    <w:jc w:val="center"/>
                    <w:rPr>
                      <w:rFonts w:hint="eastAsia"/>
                      <w:sz w:val="24"/>
                      <w:szCs w:val="24"/>
                    </w:rPr>
                  </w:pPr>
                  <w:r>
                    <w:rPr>
                      <w:rFonts w:hint="eastAsia"/>
                      <w:sz w:val="24"/>
                      <w:szCs w:val="24"/>
                    </w:rPr>
                    <w:t>年</w:t>
                  </w:r>
                </w:p>
              </w:tc>
            </w:tr>
          </w:tbl>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——跟踪核查特种设备</w:t>
            </w:r>
          </w:p>
          <w:p>
            <w:pPr>
              <w:pStyle w:val="14"/>
              <w:spacing w:line="360" w:lineRule="auto"/>
              <w:rPr>
                <w:sz w:val="24"/>
                <w:szCs w:val="24"/>
              </w:rPr>
            </w:pPr>
            <w:r>
              <w:rPr>
                <w:sz w:val="24"/>
                <w:szCs w:val="24"/>
              </w:rPr>
              <w:drawing>
                <wp:inline distT="0" distB="0" distL="114300" distR="114300">
                  <wp:extent cx="3695700" cy="4074795"/>
                  <wp:effectExtent l="0" t="0" r="7620"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3695700" cy="4074795"/>
                          </a:xfrm>
                          <a:prstGeom prst="rect">
                            <a:avLst/>
                          </a:prstGeom>
                          <a:noFill/>
                          <a:ln>
                            <a:noFill/>
                          </a:ln>
                        </pic:spPr>
                      </pic:pic>
                    </a:graphicData>
                  </a:graphic>
                </wp:inline>
              </w:drawing>
            </w:r>
          </w:p>
          <w:p>
            <w:pPr>
              <w:pStyle w:val="14"/>
              <w:spacing w:line="360" w:lineRule="auto"/>
              <w:rPr>
                <w:sz w:val="24"/>
                <w:szCs w:val="24"/>
              </w:rPr>
            </w:pPr>
          </w:p>
          <w:p>
            <w:pPr>
              <w:pStyle w:val="14"/>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sz w:val="24"/>
                <w:szCs w:val="24"/>
                <w:highlight w:val="none"/>
              </w:rPr>
              <w:t>电梯</w:t>
            </w:r>
            <w:r>
              <w:rPr>
                <w:rFonts w:hint="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检定报告编号：冀特DTDJ10202025835;下次检定日期：2021.12.；发证单位：河北省特种监督检验研究院。</w:t>
            </w:r>
          </w:p>
          <w:p>
            <w:pPr>
              <w:pStyle w:val="14"/>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sz w:val="24"/>
                <w:szCs w:val="24"/>
                <w:highlight w:val="none"/>
              </w:rPr>
              <w:t>电梯</w:t>
            </w:r>
            <w:r>
              <w:rPr>
                <w:rFonts w:hint="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检定报告编号：冀特DTDJ10202114429;下次检定日期：2022.7.；发证单位：河北省特种监督检验研究院。</w:t>
            </w:r>
          </w:p>
          <w:p>
            <w:pPr>
              <w:pStyle w:val="14"/>
              <w:spacing w:line="360" w:lineRule="auto"/>
              <w:rPr>
                <w:rFonts w:hint="eastAsia" w:asciiTheme="minorEastAsia" w:hAnsiTheme="minorEastAsia" w:eastAsiaTheme="minorEastAsia" w:cstheme="minorEastAsia"/>
                <w:sz w:val="24"/>
                <w:szCs w:val="24"/>
                <w:highlight w:val="none"/>
                <w:lang w:val="en-US" w:eastAsia="zh-CN"/>
              </w:rPr>
            </w:pPr>
          </w:p>
          <w:p>
            <w:pPr>
              <w:pStyle w:val="14"/>
              <w:spacing w:line="360" w:lineRule="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——跟踪核查水质检测；2021.7.5.；结果显示合格。</w:t>
            </w:r>
          </w:p>
          <w:p>
            <w:pPr>
              <w:pStyle w:val="14"/>
              <w:spacing w:line="360" w:lineRule="auto"/>
              <w:rPr>
                <w:sz w:val="24"/>
                <w:szCs w:val="24"/>
              </w:rPr>
            </w:pPr>
            <w:r>
              <w:rPr>
                <w:sz w:val="24"/>
                <w:szCs w:val="24"/>
              </w:rPr>
              <w:drawing>
                <wp:inline distT="0" distB="0" distL="114300" distR="114300">
                  <wp:extent cx="4333240" cy="3613150"/>
                  <wp:effectExtent l="0" t="0" r="1016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4333240" cy="3613150"/>
                          </a:xfrm>
                          <a:prstGeom prst="rect">
                            <a:avLst/>
                          </a:prstGeom>
                          <a:noFill/>
                          <a:ln>
                            <a:noFill/>
                          </a:ln>
                        </pic:spPr>
                      </pic:pic>
                    </a:graphicData>
                  </a:graphic>
                </wp:inline>
              </w:drawing>
            </w:r>
          </w:p>
          <w:p>
            <w:pPr>
              <w:pStyle w:val="14"/>
              <w:spacing w:line="360" w:lineRule="auto"/>
              <w:rPr>
                <w:rFonts w:hint="eastAsia"/>
                <w:sz w:val="24"/>
                <w:szCs w:val="24"/>
                <w:lang w:val="en-US" w:eastAsia="zh-CN"/>
              </w:rPr>
            </w:pPr>
            <w:r>
              <w:rPr>
                <w:rFonts w:hint="eastAsia"/>
                <w:sz w:val="24"/>
                <w:szCs w:val="24"/>
                <w:lang w:eastAsia="zh-CN"/>
              </w:rPr>
              <w:t>——</w:t>
            </w:r>
            <w:r>
              <w:rPr>
                <w:rFonts w:hint="eastAsia"/>
                <w:sz w:val="24"/>
                <w:szCs w:val="24"/>
                <w:lang w:val="en-US" w:eastAsia="zh-CN"/>
              </w:rPr>
              <w:t>人员资质具体见行政部检查表。</w:t>
            </w:r>
          </w:p>
          <w:p>
            <w:pPr>
              <w:pStyle w:val="14"/>
              <w:spacing w:line="360" w:lineRule="auto"/>
              <w:rPr>
                <w:rFonts w:hint="default"/>
                <w:sz w:val="24"/>
                <w:szCs w:val="24"/>
                <w:lang w:val="en-US" w:eastAsia="zh-CN"/>
              </w:rPr>
            </w:pPr>
          </w:p>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——具体的设施、设备巡检记录；保洁、绿化维护记录；公共秩序维护记录见物业服务小区项目点检查表。</w:t>
            </w:r>
          </w:p>
          <w:p>
            <w:pPr>
              <w:pStyle w:val="14"/>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——消杀用品每次进货为当次使用量，不进行库存，使用人员经过安全培训；劳保用品、卫生用品及酒精专门用一个20平左右的库房存放，由专人负责管理。</w:t>
            </w:r>
          </w:p>
          <w:p>
            <w:pPr>
              <w:pStyle w:val="14"/>
              <w:spacing w:line="360" w:lineRule="auto"/>
              <w:rPr>
                <w:rFonts w:hint="default" w:asciiTheme="minorEastAsia" w:hAnsiTheme="minorEastAsia" w:eastAsiaTheme="minorEastAsia" w:cstheme="minorEastAsia"/>
                <w:sz w:val="24"/>
                <w:szCs w:val="24"/>
                <w:lang w:val="en-US" w:eastAsia="zh-CN"/>
              </w:rPr>
            </w:pPr>
          </w:p>
          <w:p>
            <w:pPr>
              <w:pStyle w:val="14"/>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5、提供有“工作日志”，记录里当班管理人员对办公室、设备设施维保、保洁、秩序维护所有物业管理服务版块实施检查及提出放行或整改意见，权限人签章日期齐全；出示有顾客满意度调查与分析报告。</w:t>
            </w:r>
          </w:p>
          <w:p>
            <w:pPr>
              <w:pStyle w:val="4"/>
              <w:rPr>
                <w:rFonts w:hint="default" w:asciiTheme="minorEastAsia" w:hAnsiTheme="minorEastAsia" w:eastAsiaTheme="minorEastAsia" w:cstheme="minorEastAsia"/>
                <w:kern w:val="2"/>
                <w:sz w:val="24"/>
                <w:szCs w:val="24"/>
                <w:highlight w:val="none"/>
                <w:lang w:val="en-US" w:eastAsia="zh-CN" w:bidi="ar-SA"/>
              </w:rPr>
            </w:pPr>
          </w:p>
          <w:p>
            <w:pPr>
              <w:pStyle w:val="4"/>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——标识</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项目部以作业表格内容作为标识，可追溯至具体服务项目、执行人、检查人及日期。</w:t>
            </w:r>
          </w:p>
          <w:p>
            <w:pPr>
              <w:pStyle w:val="4"/>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——顾客财产</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属于顾客的财产主要是业主的信息，文件装订成册，专人保管。</w:t>
            </w:r>
          </w:p>
          <w:p>
            <w:pPr>
              <w:pStyle w:val="4"/>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——防护</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所有当月作业记录装订成册，用封面进行防护；历史记录用文件夹归类保护；化学品、劳保用品专门库房保存；危险设备设施上均有安全标识。</w:t>
            </w:r>
          </w:p>
          <w:p>
            <w:pPr>
              <w:pStyle w:val="4"/>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——交付后活动</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出示有“业主报事报修记录表”，内容包含接单人、报修记录、完成时间、回访结果、回访人及完成日期。</w:t>
            </w:r>
          </w:p>
          <w:p>
            <w:pPr>
              <w:pStyle w:val="4"/>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——抽8-9月“业主报事报修记录表”</w:t>
            </w:r>
          </w:p>
          <w:p>
            <w:pPr>
              <w:pStyle w:val="4"/>
              <w:rPr>
                <w:sz w:val="24"/>
                <w:szCs w:val="24"/>
              </w:rPr>
            </w:pPr>
            <w:r>
              <w:rPr>
                <w:sz w:val="24"/>
                <w:szCs w:val="24"/>
              </w:rPr>
              <w:drawing>
                <wp:inline distT="0" distB="0" distL="114300" distR="114300">
                  <wp:extent cx="5600065" cy="2248535"/>
                  <wp:effectExtent l="0" t="0" r="825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600065" cy="2248535"/>
                          </a:xfrm>
                          <a:prstGeom prst="rect">
                            <a:avLst/>
                          </a:prstGeom>
                          <a:noFill/>
                          <a:ln>
                            <a:noFill/>
                          </a:ln>
                        </pic:spPr>
                      </pic:pic>
                    </a:graphicData>
                  </a:graphic>
                </wp:inline>
              </w:drawing>
            </w:r>
          </w:p>
          <w:p>
            <w:pPr>
              <w:pStyle w:val="4"/>
              <w:ind w:firstLine="560" w:firstLineChars="200"/>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另抽10-11月“业主报事报修记录表”，内容均按规定记录。</w:t>
            </w:r>
          </w:p>
          <w:p>
            <w:pPr>
              <w:pStyle w:val="4"/>
              <w:rPr>
                <w:rFonts w:hint="default" w:eastAsia="楷体_GB2312"/>
                <w:sz w:val="24"/>
                <w:szCs w:val="24"/>
                <w:lang w:val="en-US" w:eastAsia="zh-CN"/>
              </w:rPr>
            </w:pPr>
          </w:p>
          <w:p>
            <w:pPr>
              <w:pStyle w:val="4"/>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——变更控制</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负责人介绍，贯标期内未发生服务体系更改。</w:t>
            </w:r>
          </w:p>
          <w:p>
            <w:pPr>
              <w:pStyle w:val="4"/>
              <w:ind w:firstLine="560" w:firstLineChars="200"/>
              <w:rPr>
                <w:rFonts w:hint="eastAsia" w:asciiTheme="minorEastAsia" w:hAnsiTheme="minorEastAsia" w:eastAsiaTheme="minorEastAsia" w:cstheme="minorEastAsia"/>
                <w:color w:val="FF0000"/>
                <w:kern w:val="2"/>
                <w:sz w:val="24"/>
                <w:szCs w:val="24"/>
                <w:highlight w:val="none"/>
                <w:lang w:val="en-US" w:eastAsia="zh-CN" w:bidi="ar-SA"/>
              </w:rPr>
            </w:pPr>
          </w:p>
          <w:p>
            <w:pPr>
              <w:pStyle w:val="4"/>
              <w:rPr>
                <w:rFonts w:hint="default" w:asciiTheme="minorEastAsia" w:hAnsiTheme="minorEastAsia" w:eastAsiaTheme="minorEastAsia" w:cstheme="minorEastAsia"/>
                <w:color w:val="FF0000"/>
                <w:kern w:val="2"/>
                <w:sz w:val="24"/>
                <w:szCs w:val="24"/>
                <w:highlight w:val="none"/>
                <w:lang w:val="en-US" w:eastAsia="zh-CN" w:bidi="ar-SA"/>
              </w:rPr>
            </w:pPr>
            <w:r>
              <w:rPr>
                <w:rFonts w:hint="eastAsia" w:asciiTheme="minorEastAsia" w:hAnsiTheme="minorEastAsia" w:eastAsiaTheme="minorEastAsia" w:cstheme="minorEastAsia"/>
                <w:color w:val="FF0000"/>
                <w:kern w:val="2"/>
                <w:sz w:val="24"/>
                <w:szCs w:val="24"/>
                <w:highlight w:val="none"/>
                <w:lang w:val="en-US" w:eastAsia="zh-CN" w:bidi="ar-SA"/>
              </w:rPr>
              <w:t>——不符合：未识别关键过程。企业实际运行中对关键过程进行了管控，但是没有对过程进行识别并进行能力确认。</w:t>
            </w:r>
          </w:p>
          <w:p>
            <w:pPr>
              <w:pStyle w:val="4"/>
              <w:rPr>
                <w:rFonts w:hint="default" w:asciiTheme="minorEastAsia" w:hAnsiTheme="minorEastAsia" w:eastAsiaTheme="minorEastAsia" w:cstheme="minorEastAsia"/>
                <w:color w:val="FF0000"/>
                <w:kern w:val="2"/>
                <w:sz w:val="24"/>
                <w:szCs w:val="24"/>
                <w:highlight w:val="none"/>
                <w:lang w:val="en-US" w:eastAsia="zh-CN" w:bidi="ar-SA"/>
              </w:rPr>
            </w:pPr>
          </w:p>
        </w:tc>
        <w:tc>
          <w:tcPr>
            <w:tcW w:w="1585" w:type="dxa"/>
          </w:tcPr>
          <w:p>
            <w:pPr>
              <w:spacing w:line="360" w:lineRule="auto"/>
              <w:rPr>
                <w:rFonts w:hint="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N1</w:t>
            </w:r>
          </w:p>
          <w:p>
            <w:pPr>
              <w:pStyle w:val="2"/>
              <w:rPr>
                <w:rFonts w:hint="eastAsia" w:asciiTheme="minorEastAsia" w:hAnsiTheme="minorEastAsia" w:eastAsiaTheme="minorEastAsia" w:cstheme="minorEastAsia"/>
                <w:color w:val="FF0000"/>
                <w:sz w:val="24"/>
                <w:szCs w:val="24"/>
                <w:lang w:val="en-US" w:eastAsia="zh-CN"/>
              </w:rPr>
            </w:pPr>
          </w:p>
          <w:p>
            <w:pPr>
              <w:pStyle w:val="2"/>
              <w:rPr>
                <w:rFonts w:hint="default" w:asciiTheme="minorEastAsia" w:hAnsiTheme="minorEastAsia" w:eastAsiaTheme="minorEastAsia" w:cstheme="minorEastAsia"/>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服务放行；不合格输出的控制</w:t>
            </w:r>
          </w:p>
        </w:tc>
        <w:tc>
          <w:tcPr>
            <w:tcW w:w="960" w:type="dxa"/>
          </w:tcPr>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Q8.6/8.7</w:t>
            </w:r>
          </w:p>
        </w:tc>
        <w:tc>
          <w:tcPr>
            <w:tcW w:w="10004" w:type="dxa"/>
          </w:tcPr>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制订有《服务提供过程控制程序》、《服务质量监视和测量控制程序》、《不合格控制程序》，建立了准则。</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负责人介绍，项目部对项目点服务的放行主要依据权限的不同，采取自查、检查的方式进行。提供有相应的作业记录。</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当班人员自查及交班检查时发现问题后立即整改；管理人员进行例行检查时发现问题及时提出整改意见，对整改进行跟踪并填写当日的工作日志。</w:t>
            </w:r>
          </w:p>
          <w:p>
            <w:pPr>
              <w:pStyle w:val="4"/>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——查2021.10.14.“工作日志”，记录里当班管理人员对办公室、设备设施维保、保洁、秩序维护所有物业管理服务版块实施检查及提出放行或整改意见，权限人签章日期齐全。</w:t>
            </w:r>
          </w:p>
          <w:p>
            <w:pPr>
              <w:pStyle w:val="4"/>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drawing>
                <wp:inline distT="0" distB="0" distL="114300" distR="114300">
                  <wp:extent cx="5631180" cy="4172585"/>
                  <wp:effectExtent l="0" t="0" r="762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631180" cy="4172585"/>
                          </a:xfrm>
                          <a:prstGeom prst="rect">
                            <a:avLst/>
                          </a:prstGeom>
                          <a:noFill/>
                          <a:ln>
                            <a:noFill/>
                          </a:ln>
                        </pic:spPr>
                      </pic:pic>
                    </a:graphicData>
                  </a:graphic>
                </wp:inline>
              </w:drawing>
            </w:r>
          </w:p>
          <w:p>
            <w:pPr>
              <w:pStyle w:val="4"/>
              <w:ind w:firstLine="560" w:firstLineChars="200"/>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另抽2021.11.4.及2021.9.18.“工作日志”，内容均按规定记录。</w:t>
            </w:r>
          </w:p>
        </w:tc>
        <w:tc>
          <w:tcPr>
            <w:tcW w:w="1585" w:type="dxa"/>
          </w:tcPr>
          <w:p>
            <w:pPr>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eastAsia="zh-CN"/>
              </w:rPr>
              <w:t>环境</w:t>
            </w:r>
            <w:r>
              <w:rPr>
                <w:rFonts w:hint="eastAsia" w:asciiTheme="minorEastAsia" w:hAnsiTheme="minorEastAsia" w:eastAsiaTheme="minorEastAsia" w:cstheme="minorEastAsia"/>
                <w:b w:val="0"/>
                <w:bCs w:val="0"/>
                <w:sz w:val="24"/>
                <w:szCs w:val="24"/>
                <w:highlight w:val="yellow"/>
                <w:lang w:val="en-US" w:eastAsia="zh-CN"/>
              </w:rPr>
              <w:t>及安全</w:t>
            </w:r>
            <w:r>
              <w:rPr>
                <w:rFonts w:hint="eastAsia" w:asciiTheme="minorEastAsia" w:hAnsiTheme="minorEastAsia" w:eastAsiaTheme="minorEastAsia" w:cstheme="minorEastAsia"/>
                <w:b w:val="0"/>
                <w:bCs w:val="0"/>
                <w:sz w:val="24"/>
                <w:szCs w:val="24"/>
                <w:lang w:val="en-US" w:eastAsia="zh-CN"/>
              </w:rPr>
              <w:t>管理体系</w:t>
            </w:r>
            <w:r>
              <w:rPr>
                <w:rFonts w:hint="eastAsia" w:asciiTheme="minorEastAsia" w:hAnsiTheme="minorEastAsia" w:eastAsiaTheme="minorEastAsia" w:cstheme="minorEastAsia"/>
                <w:b w:val="0"/>
                <w:bCs w:val="0"/>
                <w:sz w:val="24"/>
                <w:szCs w:val="24"/>
              </w:rPr>
              <w:t>运行控制的有效性与应急响应控制</w:t>
            </w:r>
          </w:p>
        </w:tc>
        <w:tc>
          <w:tcPr>
            <w:tcW w:w="960" w:type="dxa"/>
          </w:tcPr>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E</w:t>
            </w:r>
            <w:r>
              <w:rPr>
                <w:rFonts w:hint="eastAsia" w:asciiTheme="minorEastAsia" w:hAnsiTheme="minorEastAsia" w:eastAsiaTheme="minorEastAsia" w:cstheme="minorEastAsia"/>
                <w:sz w:val="24"/>
                <w:szCs w:val="24"/>
                <w:highlight w:val="yellow"/>
                <w:lang w:val="en-US" w:eastAsia="zh-CN"/>
              </w:rPr>
              <w:t>O</w:t>
            </w:r>
            <w:r>
              <w:rPr>
                <w:rFonts w:hint="eastAsia" w:asciiTheme="minorEastAsia" w:hAnsiTheme="minorEastAsia" w:eastAsiaTheme="minorEastAsia" w:cstheme="minorEastAsia"/>
                <w:sz w:val="24"/>
                <w:szCs w:val="24"/>
                <w:lang w:val="en-US" w:eastAsia="zh-CN"/>
              </w:rPr>
              <w:t>8.1/8.2</w:t>
            </w:r>
          </w:p>
        </w:tc>
        <w:tc>
          <w:tcPr>
            <w:tcW w:w="10004" w:type="dxa"/>
          </w:tcPr>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核查其制订了《环境运行控制程序》、《职业健康安全运行控制程序》、《应急准备和响应控制程序》。</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策划了《行政管理制度》，提供有“工作日志”，记录里当班管理人员对办公室、设备设施维保、保洁、秩序维护所有物业管理服务版块实施检查及提出放行或整改意见，权限人签章日期齐全。</w:t>
            </w:r>
          </w:p>
          <w:p>
            <w:pPr>
              <w:pStyle w:val="4"/>
              <w:ind w:firstLine="560" w:firstLineChars="200"/>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提供有相关方告知书，内容显示有明确提醒底商加装可燃气体报警装置及油烟环保设施定期维保的内容。</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远程视频观察现场办公区域安全及环境卫生管理，工作场所布局合理，设备齐全、照明良好，满足需求。</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部门参加了2021.4.9.由行政部组织的火灾应急演练，有效果评价。</w:t>
            </w:r>
          </w:p>
          <w:p>
            <w:pPr>
              <w:pStyle w:val="4"/>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——部门环境</w:t>
            </w:r>
            <w:r>
              <w:rPr>
                <w:rFonts w:hint="eastAsia" w:asciiTheme="minorEastAsia" w:hAnsiTheme="minorEastAsia" w:eastAsiaTheme="minorEastAsia" w:cstheme="minorEastAsia"/>
                <w:b w:val="0"/>
                <w:bCs w:val="0"/>
                <w:sz w:val="24"/>
                <w:szCs w:val="24"/>
                <w:highlight w:val="yellow"/>
                <w:lang w:val="en-US" w:eastAsia="zh-CN"/>
              </w:rPr>
              <w:t>及安全</w:t>
            </w:r>
            <w:r>
              <w:rPr>
                <w:rFonts w:hint="eastAsia" w:asciiTheme="minorEastAsia" w:hAnsiTheme="minorEastAsia" w:eastAsiaTheme="minorEastAsia" w:cstheme="minorEastAsia"/>
                <w:kern w:val="2"/>
                <w:sz w:val="24"/>
                <w:szCs w:val="24"/>
                <w:highlight w:val="none"/>
                <w:lang w:val="en-US" w:eastAsia="zh-CN" w:bidi="ar-SA"/>
              </w:rPr>
              <w:t>管理运行控制与应急响应控制基本符合。</w:t>
            </w:r>
          </w:p>
        </w:tc>
        <w:tc>
          <w:tcPr>
            <w:tcW w:w="1585" w:type="dxa"/>
          </w:tcPr>
          <w:p>
            <w:pPr>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pStyle w:val="2"/>
              <w:numPr>
                <w:ilvl w:val="0"/>
                <w:numId w:val="0"/>
              </w:numPr>
              <w:spacing w:line="360" w:lineRule="auto"/>
              <w:ind w:leftChars="0"/>
              <w:rPr>
                <w:rFonts w:hint="eastAsia" w:asciiTheme="minorEastAsia" w:hAnsiTheme="minorEastAsia" w:eastAsiaTheme="minorEastAsia" w:cstheme="minorEastAsia"/>
                <w:b w:val="0"/>
                <w:bCs w:val="0"/>
                <w:spacing w:val="10"/>
                <w:kern w:val="2"/>
                <w:sz w:val="24"/>
                <w:szCs w:val="24"/>
                <w:lang w:val="en-US" w:eastAsia="zh-CN" w:bidi="ar-SA"/>
              </w:rPr>
            </w:pPr>
            <w:r>
              <w:rPr>
                <w:rFonts w:hint="eastAsia" w:asciiTheme="minorEastAsia" w:hAnsiTheme="minorEastAsia" w:eastAsiaTheme="minorEastAsia" w:cstheme="minorEastAsia"/>
                <w:b w:val="0"/>
                <w:bCs w:val="0"/>
                <w:spacing w:val="10"/>
                <w:kern w:val="2"/>
                <w:sz w:val="24"/>
                <w:szCs w:val="24"/>
                <w:lang w:val="en-US" w:eastAsia="zh-CN" w:bidi="ar-SA"/>
              </w:rPr>
              <w:t>部门业务过程绩效检查、改进过程</w:t>
            </w:r>
          </w:p>
          <w:p>
            <w:pPr>
              <w:spacing w:line="360" w:lineRule="auto"/>
              <w:rPr>
                <w:rFonts w:hint="eastAsia" w:asciiTheme="minorEastAsia" w:hAnsiTheme="minorEastAsia" w:eastAsiaTheme="minorEastAsia" w:cstheme="minorEastAsia"/>
                <w:b w:val="0"/>
                <w:bCs w:val="0"/>
                <w:sz w:val="24"/>
                <w:szCs w:val="24"/>
                <w:lang w:val="en-US" w:eastAsia="zh-CN"/>
              </w:rPr>
            </w:pPr>
          </w:p>
        </w:tc>
        <w:tc>
          <w:tcPr>
            <w:tcW w:w="960" w:type="dxa"/>
          </w:tcPr>
          <w:p>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QE9.1.1/10.2</w:t>
            </w:r>
          </w:p>
        </w:tc>
        <w:tc>
          <w:tcPr>
            <w:tcW w:w="10004" w:type="dxa"/>
          </w:tcPr>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部门通过管理评审、内审、目标指标考核、过程控制、纠正措施和预防措施等方式，进行质量和环境管理体系过程的监视和测量，找出改进点，持续改进质量、环境和健康安全管理体系的运行有效性。</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部门过程的监视、测量、分析、评价主要表现在以下几个方面</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1.目标指标考评：其2021年度Q1-Q3部门分解目标指标达成，有效证实体系过程具备目标指标的实现能力。</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 日常监测包括自查、接受检查，目前未发现部门的问题。对部门目标进行考核，目标经考核能完成。对完成情况进行分析，在部门工作报告中，整体认为部门的监测分析工作基本有效。本年度内审中发现的不符合不涉及本部门。管评的改进措施正在实施中。部门执行质量、环境、职业健康安全手册相关内容，明确公司收集分析信息数据的内容、责任部门及方法等内容。分析和评价机制已基本建立。基本符合要求。</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3.过程控制：出示有“管理目标统计表”，“工作日志”等。</w:t>
            </w:r>
          </w:p>
          <w:p>
            <w:pPr>
              <w:pStyle w:val="4"/>
              <w:ind w:firstLine="56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——上述描述基本有效证实了部门体系过程监视、测量、分析和评价符合要求。</w:t>
            </w:r>
          </w:p>
          <w:p>
            <w:pPr>
              <w:pStyle w:val="4"/>
              <w:rPr>
                <w:rFonts w:hint="eastAsia" w:asciiTheme="minorEastAsia" w:hAnsiTheme="minorEastAsia" w:eastAsiaTheme="minorEastAsia" w:cstheme="minorEastAsia"/>
                <w:kern w:val="2"/>
                <w:sz w:val="24"/>
                <w:szCs w:val="24"/>
                <w:highlight w:val="none"/>
                <w:lang w:val="en-US" w:eastAsia="zh-CN" w:bidi="ar-SA"/>
              </w:rPr>
            </w:pPr>
          </w:p>
        </w:tc>
        <w:tc>
          <w:tcPr>
            <w:tcW w:w="1585" w:type="dxa"/>
          </w:tcPr>
          <w:p>
            <w:pPr>
              <w:spacing w:line="360" w:lineRule="auto"/>
              <w:rPr>
                <w:rFonts w:hint="eastAsia" w:asciiTheme="minorEastAsia" w:hAnsiTheme="minorEastAsia" w:eastAsiaTheme="minorEastAsia" w:cstheme="minorEastAsia"/>
                <w:sz w:val="24"/>
                <w:szCs w:val="24"/>
              </w:rPr>
            </w:pPr>
          </w:p>
        </w:tc>
      </w:tr>
    </w:tbl>
    <w:p>
      <w:r>
        <w:ptab w:relativeTo="margin" w:alignment="center" w:leader="none"/>
      </w:r>
    </w:p>
    <w:p/>
    <w:p/>
    <w:p>
      <w:pPr>
        <w:pStyle w:val="6"/>
      </w:pPr>
      <w:r>
        <w:rPr>
          <w:rFonts w:hint="eastAsi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楷体_GB2312">
    <w:altName w:val="楷体"/>
    <w:panose1 w:val="00000000000000000000"/>
    <w:charset w:val="00"/>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2B6123"/>
    <w:multiLevelType w:val="singleLevel"/>
    <w:tmpl w:val="E72B6123"/>
    <w:lvl w:ilvl="0" w:tentative="0">
      <w:start w:val="1"/>
      <w:numFmt w:val="decimal"/>
      <w:suff w:val="nothing"/>
      <w:lvlText w:val="%1、"/>
      <w:lvlJc w:val="left"/>
    </w:lvl>
  </w:abstractNum>
  <w:abstractNum w:abstractNumId="1">
    <w:nsid w:val="041F4D1A"/>
    <w:multiLevelType w:val="multilevel"/>
    <w:tmpl w:val="041F4D1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93E315D"/>
    <w:multiLevelType w:val="multilevel"/>
    <w:tmpl w:val="093E315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1262F18"/>
    <w:multiLevelType w:val="multilevel"/>
    <w:tmpl w:val="31262F1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31DE3A8"/>
    <w:multiLevelType w:val="singleLevel"/>
    <w:tmpl w:val="331DE3A8"/>
    <w:lvl w:ilvl="0" w:tentative="0">
      <w:start w:val="1"/>
      <w:numFmt w:val="decimal"/>
      <w:suff w:val="nothing"/>
      <w:lvlText w:val="%1、"/>
      <w:lvlJc w:val="left"/>
    </w:lvl>
  </w:abstractNum>
  <w:abstractNum w:abstractNumId="5">
    <w:nsid w:val="36884865"/>
    <w:multiLevelType w:val="multilevel"/>
    <w:tmpl w:val="3688486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B3C27BF"/>
    <w:multiLevelType w:val="multilevel"/>
    <w:tmpl w:val="6B3C27B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44A78E5"/>
    <w:multiLevelType w:val="multilevel"/>
    <w:tmpl w:val="744A78E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E4C7361"/>
    <w:multiLevelType w:val="multilevel"/>
    <w:tmpl w:val="7E4C736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5"/>
  </w:num>
  <w:num w:numId="4">
    <w:abstractNumId w:val="1"/>
  </w:num>
  <w:num w:numId="5">
    <w:abstractNumId w:val="6"/>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044EF2"/>
    <w:rsid w:val="002076A9"/>
    <w:rsid w:val="002B507D"/>
    <w:rsid w:val="00770AC1"/>
    <w:rsid w:val="00B32D59"/>
    <w:rsid w:val="010574B0"/>
    <w:rsid w:val="010D3379"/>
    <w:rsid w:val="01106C32"/>
    <w:rsid w:val="011463D8"/>
    <w:rsid w:val="017C6FBF"/>
    <w:rsid w:val="01A96331"/>
    <w:rsid w:val="01CE1437"/>
    <w:rsid w:val="01FD42EF"/>
    <w:rsid w:val="02350C0E"/>
    <w:rsid w:val="028B5457"/>
    <w:rsid w:val="032C4E8C"/>
    <w:rsid w:val="03304250"/>
    <w:rsid w:val="033E7E6E"/>
    <w:rsid w:val="03BB0F29"/>
    <w:rsid w:val="04E73DE6"/>
    <w:rsid w:val="052F25B9"/>
    <w:rsid w:val="056D52E8"/>
    <w:rsid w:val="056E6787"/>
    <w:rsid w:val="05AB7BBE"/>
    <w:rsid w:val="05C56ED2"/>
    <w:rsid w:val="073D5962"/>
    <w:rsid w:val="077010BF"/>
    <w:rsid w:val="07901510"/>
    <w:rsid w:val="07BD13EE"/>
    <w:rsid w:val="07CF4038"/>
    <w:rsid w:val="0922463B"/>
    <w:rsid w:val="098552F6"/>
    <w:rsid w:val="0A075D0B"/>
    <w:rsid w:val="0A2543E3"/>
    <w:rsid w:val="0A4B3110"/>
    <w:rsid w:val="0A672304"/>
    <w:rsid w:val="0A9E2D1E"/>
    <w:rsid w:val="0B3545A0"/>
    <w:rsid w:val="0B796B01"/>
    <w:rsid w:val="0C1A2993"/>
    <w:rsid w:val="0C9D3D0F"/>
    <w:rsid w:val="0D2766C4"/>
    <w:rsid w:val="0DEE3D1F"/>
    <w:rsid w:val="0DF06AB6"/>
    <w:rsid w:val="0EE5122D"/>
    <w:rsid w:val="0FD618B9"/>
    <w:rsid w:val="109773EB"/>
    <w:rsid w:val="10D25F6B"/>
    <w:rsid w:val="110A4333"/>
    <w:rsid w:val="11625C80"/>
    <w:rsid w:val="123478B9"/>
    <w:rsid w:val="12435174"/>
    <w:rsid w:val="12535865"/>
    <w:rsid w:val="12745F08"/>
    <w:rsid w:val="127E60E3"/>
    <w:rsid w:val="12B53D1E"/>
    <w:rsid w:val="12CC2A67"/>
    <w:rsid w:val="12E71167"/>
    <w:rsid w:val="12F34DDE"/>
    <w:rsid w:val="1369703A"/>
    <w:rsid w:val="13870475"/>
    <w:rsid w:val="144B482A"/>
    <w:rsid w:val="1483257C"/>
    <w:rsid w:val="14DC1B42"/>
    <w:rsid w:val="15104696"/>
    <w:rsid w:val="1535242E"/>
    <w:rsid w:val="156D6C3E"/>
    <w:rsid w:val="158D7E90"/>
    <w:rsid w:val="159A58B5"/>
    <w:rsid w:val="15A0573A"/>
    <w:rsid w:val="16443E43"/>
    <w:rsid w:val="166B7CFA"/>
    <w:rsid w:val="171506C3"/>
    <w:rsid w:val="17920C4E"/>
    <w:rsid w:val="17DB70A1"/>
    <w:rsid w:val="187974D9"/>
    <w:rsid w:val="19295536"/>
    <w:rsid w:val="1981275C"/>
    <w:rsid w:val="199926F8"/>
    <w:rsid w:val="19C21C4E"/>
    <w:rsid w:val="1A160795"/>
    <w:rsid w:val="1A78230D"/>
    <w:rsid w:val="1A907657"/>
    <w:rsid w:val="1AD85273"/>
    <w:rsid w:val="1B880EB1"/>
    <w:rsid w:val="1C45014E"/>
    <w:rsid w:val="1DC1221D"/>
    <w:rsid w:val="1E362118"/>
    <w:rsid w:val="1EA2709E"/>
    <w:rsid w:val="1F6533A0"/>
    <w:rsid w:val="1F745799"/>
    <w:rsid w:val="1F8D59B8"/>
    <w:rsid w:val="1FC85AE5"/>
    <w:rsid w:val="1FFD316C"/>
    <w:rsid w:val="202112E3"/>
    <w:rsid w:val="21352D06"/>
    <w:rsid w:val="23165AD8"/>
    <w:rsid w:val="2366364A"/>
    <w:rsid w:val="237C266D"/>
    <w:rsid w:val="24027E75"/>
    <w:rsid w:val="24415459"/>
    <w:rsid w:val="24420123"/>
    <w:rsid w:val="24861ACA"/>
    <w:rsid w:val="249A5A47"/>
    <w:rsid w:val="250960CA"/>
    <w:rsid w:val="25237319"/>
    <w:rsid w:val="25404894"/>
    <w:rsid w:val="25875AFA"/>
    <w:rsid w:val="25D16D75"/>
    <w:rsid w:val="26105AEF"/>
    <w:rsid w:val="2628108B"/>
    <w:rsid w:val="2637307C"/>
    <w:rsid w:val="263D3322"/>
    <w:rsid w:val="264D0551"/>
    <w:rsid w:val="26A34BB6"/>
    <w:rsid w:val="2713667E"/>
    <w:rsid w:val="27E70AD2"/>
    <w:rsid w:val="28086671"/>
    <w:rsid w:val="2830793F"/>
    <w:rsid w:val="286B1703"/>
    <w:rsid w:val="29022E22"/>
    <w:rsid w:val="29207F2A"/>
    <w:rsid w:val="29231282"/>
    <w:rsid w:val="294E0E09"/>
    <w:rsid w:val="29620270"/>
    <w:rsid w:val="2A86509C"/>
    <w:rsid w:val="2B824D9A"/>
    <w:rsid w:val="2B8E4BB9"/>
    <w:rsid w:val="2BC929C8"/>
    <w:rsid w:val="2BDD0222"/>
    <w:rsid w:val="2BDD4094"/>
    <w:rsid w:val="2C037EE1"/>
    <w:rsid w:val="2C6E43EB"/>
    <w:rsid w:val="2C771FA8"/>
    <w:rsid w:val="2C9C632F"/>
    <w:rsid w:val="2CE11BC9"/>
    <w:rsid w:val="2D5171DC"/>
    <w:rsid w:val="2DA3549B"/>
    <w:rsid w:val="2DD1025A"/>
    <w:rsid w:val="2E1E2BCF"/>
    <w:rsid w:val="2EA97960"/>
    <w:rsid w:val="2EE94BE6"/>
    <w:rsid w:val="2F57653D"/>
    <w:rsid w:val="2F6F3887"/>
    <w:rsid w:val="2FC678B5"/>
    <w:rsid w:val="2FCD1886"/>
    <w:rsid w:val="307B2C02"/>
    <w:rsid w:val="30AF7E29"/>
    <w:rsid w:val="30C8155C"/>
    <w:rsid w:val="31D125D7"/>
    <w:rsid w:val="3276682C"/>
    <w:rsid w:val="32826DB5"/>
    <w:rsid w:val="32E02288"/>
    <w:rsid w:val="332C1A8F"/>
    <w:rsid w:val="33371E79"/>
    <w:rsid w:val="33A3216B"/>
    <w:rsid w:val="342507C6"/>
    <w:rsid w:val="342C61EA"/>
    <w:rsid w:val="35BA7547"/>
    <w:rsid w:val="35CD0AE0"/>
    <w:rsid w:val="36740901"/>
    <w:rsid w:val="36F6488E"/>
    <w:rsid w:val="37616618"/>
    <w:rsid w:val="378123A9"/>
    <w:rsid w:val="378B147A"/>
    <w:rsid w:val="37FD7CC2"/>
    <w:rsid w:val="3850097D"/>
    <w:rsid w:val="38515AF3"/>
    <w:rsid w:val="39663F4D"/>
    <w:rsid w:val="396742BB"/>
    <w:rsid w:val="397321C6"/>
    <w:rsid w:val="397C4025"/>
    <w:rsid w:val="3A573895"/>
    <w:rsid w:val="3A583CA3"/>
    <w:rsid w:val="3A5C0D32"/>
    <w:rsid w:val="3A7C0802"/>
    <w:rsid w:val="3B281376"/>
    <w:rsid w:val="3B90705F"/>
    <w:rsid w:val="3D4A673C"/>
    <w:rsid w:val="3D6E4655"/>
    <w:rsid w:val="3D995F73"/>
    <w:rsid w:val="3DFF2144"/>
    <w:rsid w:val="3E047890"/>
    <w:rsid w:val="3E0A345E"/>
    <w:rsid w:val="3E0F1976"/>
    <w:rsid w:val="3E427193"/>
    <w:rsid w:val="3E48075A"/>
    <w:rsid w:val="3E6236E9"/>
    <w:rsid w:val="3E9B5F83"/>
    <w:rsid w:val="3F0D6A01"/>
    <w:rsid w:val="3F1C7550"/>
    <w:rsid w:val="3F373DAD"/>
    <w:rsid w:val="3F3A3F3C"/>
    <w:rsid w:val="3FC5255D"/>
    <w:rsid w:val="3FC73D34"/>
    <w:rsid w:val="3FD24F73"/>
    <w:rsid w:val="40816498"/>
    <w:rsid w:val="41556814"/>
    <w:rsid w:val="41E53E7C"/>
    <w:rsid w:val="42375347"/>
    <w:rsid w:val="42646575"/>
    <w:rsid w:val="42685262"/>
    <w:rsid w:val="42C8467A"/>
    <w:rsid w:val="42EB7271"/>
    <w:rsid w:val="435819FE"/>
    <w:rsid w:val="439416B6"/>
    <w:rsid w:val="439810B9"/>
    <w:rsid w:val="43A144D7"/>
    <w:rsid w:val="440A5762"/>
    <w:rsid w:val="445578F7"/>
    <w:rsid w:val="446B256E"/>
    <w:rsid w:val="44E61F63"/>
    <w:rsid w:val="4599501F"/>
    <w:rsid w:val="45F6425D"/>
    <w:rsid w:val="462E10C4"/>
    <w:rsid w:val="464508BC"/>
    <w:rsid w:val="46A603F7"/>
    <w:rsid w:val="46AA0D46"/>
    <w:rsid w:val="46ED7F1A"/>
    <w:rsid w:val="47150D60"/>
    <w:rsid w:val="474D22A8"/>
    <w:rsid w:val="47F66339"/>
    <w:rsid w:val="48406D83"/>
    <w:rsid w:val="48CE566A"/>
    <w:rsid w:val="48EE1869"/>
    <w:rsid w:val="4909126E"/>
    <w:rsid w:val="49147605"/>
    <w:rsid w:val="49427996"/>
    <w:rsid w:val="49DE5649"/>
    <w:rsid w:val="4A5A3216"/>
    <w:rsid w:val="4BEA59A0"/>
    <w:rsid w:val="4BFA0524"/>
    <w:rsid w:val="4C213D03"/>
    <w:rsid w:val="4C6D73C0"/>
    <w:rsid w:val="4C806C7C"/>
    <w:rsid w:val="4C9F5B84"/>
    <w:rsid w:val="4CE52F83"/>
    <w:rsid w:val="4D037A17"/>
    <w:rsid w:val="4D1C047A"/>
    <w:rsid w:val="4D565930"/>
    <w:rsid w:val="4DE45D18"/>
    <w:rsid w:val="4E0D67C5"/>
    <w:rsid w:val="4E427CCF"/>
    <w:rsid w:val="4E73172B"/>
    <w:rsid w:val="4EA0652D"/>
    <w:rsid w:val="4F8B1BBF"/>
    <w:rsid w:val="4FAA7397"/>
    <w:rsid w:val="4FD30162"/>
    <w:rsid w:val="50152D26"/>
    <w:rsid w:val="505521CD"/>
    <w:rsid w:val="50AB20B6"/>
    <w:rsid w:val="51AC694B"/>
    <w:rsid w:val="51DC4954"/>
    <w:rsid w:val="52157E66"/>
    <w:rsid w:val="52B07AE7"/>
    <w:rsid w:val="52E300F9"/>
    <w:rsid w:val="532E7BB2"/>
    <w:rsid w:val="537E4FA2"/>
    <w:rsid w:val="539E5E24"/>
    <w:rsid w:val="53C2362C"/>
    <w:rsid w:val="53F05329"/>
    <w:rsid w:val="542A1584"/>
    <w:rsid w:val="544A1E34"/>
    <w:rsid w:val="549D54D6"/>
    <w:rsid w:val="54B70E35"/>
    <w:rsid w:val="5569382A"/>
    <w:rsid w:val="55700CD0"/>
    <w:rsid w:val="560B1F5F"/>
    <w:rsid w:val="56325CFA"/>
    <w:rsid w:val="5660663E"/>
    <w:rsid w:val="57073E3D"/>
    <w:rsid w:val="573614ED"/>
    <w:rsid w:val="57392841"/>
    <w:rsid w:val="5758292F"/>
    <w:rsid w:val="58097547"/>
    <w:rsid w:val="589C40E8"/>
    <w:rsid w:val="59516853"/>
    <w:rsid w:val="598D29D8"/>
    <w:rsid w:val="59EB7F1C"/>
    <w:rsid w:val="5A2A56A1"/>
    <w:rsid w:val="5A5F25C6"/>
    <w:rsid w:val="5A813F62"/>
    <w:rsid w:val="5B174C4F"/>
    <w:rsid w:val="5BC72D16"/>
    <w:rsid w:val="5C1619E2"/>
    <w:rsid w:val="5C46603D"/>
    <w:rsid w:val="5C473312"/>
    <w:rsid w:val="5C732359"/>
    <w:rsid w:val="5CA226B5"/>
    <w:rsid w:val="5DAC2975"/>
    <w:rsid w:val="5DFE15E4"/>
    <w:rsid w:val="5EB15584"/>
    <w:rsid w:val="5ED05841"/>
    <w:rsid w:val="5F231864"/>
    <w:rsid w:val="5F3B6A32"/>
    <w:rsid w:val="5F811112"/>
    <w:rsid w:val="5FA253B9"/>
    <w:rsid w:val="5FC72F24"/>
    <w:rsid w:val="5FE80968"/>
    <w:rsid w:val="60CA5281"/>
    <w:rsid w:val="6183026E"/>
    <w:rsid w:val="61943316"/>
    <w:rsid w:val="62C31218"/>
    <w:rsid w:val="62D33D51"/>
    <w:rsid w:val="63260125"/>
    <w:rsid w:val="635271B7"/>
    <w:rsid w:val="635A67FC"/>
    <w:rsid w:val="63A96489"/>
    <w:rsid w:val="63B53257"/>
    <w:rsid w:val="64765647"/>
    <w:rsid w:val="64BE2CC7"/>
    <w:rsid w:val="64CC2376"/>
    <w:rsid w:val="64EA7FF6"/>
    <w:rsid w:val="65064C10"/>
    <w:rsid w:val="65181CEF"/>
    <w:rsid w:val="65191371"/>
    <w:rsid w:val="65200BA4"/>
    <w:rsid w:val="66190650"/>
    <w:rsid w:val="664D78FB"/>
    <w:rsid w:val="66652D12"/>
    <w:rsid w:val="66862C89"/>
    <w:rsid w:val="66EC49F2"/>
    <w:rsid w:val="67BD11FC"/>
    <w:rsid w:val="67E307DC"/>
    <w:rsid w:val="67EA49D5"/>
    <w:rsid w:val="67FF0F45"/>
    <w:rsid w:val="6844104D"/>
    <w:rsid w:val="68A20784"/>
    <w:rsid w:val="68BD7383"/>
    <w:rsid w:val="68C77CB4"/>
    <w:rsid w:val="69100406"/>
    <w:rsid w:val="6938470E"/>
    <w:rsid w:val="6958090C"/>
    <w:rsid w:val="697D0373"/>
    <w:rsid w:val="69961435"/>
    <w:rsid w:val="69B27CF9"/>
    <w:rsid w:val="6A533DA5"/>
    <w:rsid w:val="6A676A4D"/>
    <w:rsid w:val="6A843180"/>
    <w:rsid w:val="6A885221"/>
    <w:rsid w:val="6A9240A2"/>
    <w:rsid w:val="6BF7562F"/>
    <w:rsid w:val="6C037DFF"/>
    <w:rsid w:val="6C2C4242"/>
    <w:rsid w:val="6C591A2A"/>
    <w:rsid w:val="6C67530A"/>
    <w:rsid w:val="6C9F2CF6"/>
    <w:rsid w:val="6CB26586"/>
    <w:rsid w:val="6CF070AE"/>
    <w:rsid w:val="6DAE5ACC"/>
    <w:rsid w:val="6DB72050"/>
    <w:rsid w:val="6E9C0F62"/>
    <w:rsid w:val="6ED44ED9"/>
    <w:rsid w:val="6EFC61DE"/>
    <w:rsid w:val="6F0F0AC3"/>
    <w:rsid w:val="6F370FC4"/>
    <w:rsid w:val="70180A06"/>
    <w:rsid w:val="70B84386"/>
    <w:rsid w:val="70F42ADA"/>
    <w:rsid w:val="71FF7E88"/>
    <w:rsid w:val="72643BFB"/>
    <w:rsid w:val="72A252C0"/>
    <w:rsid w:val="72E31CE2"/>
    <w:rsid w:val="7311085D"/>
    <w:rsid w:val="73117D7E"/>
    <w:rsid w:val="73624E7C"/>
    <w:rsid w:val="73A54F65"/>
    <w:rsid w:val="74200A2F"/>
    <w:rsid w:val="748A089D"/>
    <w:rsid w:val="74E27C24"/>
    <w:rsid w:val="74EE0377"/>
    <w:rsid w:val="75385A96"/>
    <w:rsid w:val="75784F5B"/>
    <w:rsid w:val="75B54B75"/>
    <w:rsid w:val="760F4A49"/>
    <w:rsid w:val="7614205F"/>
    <w:rsid w:val="761422CC"/>
    <w:rsid w:val="76177C92"/>
    <w:rsid w:val="763C6355"/>
    <w:rsid w:val="76BE67BB"/>
    <w:rsid w:val="76BF2439"/>
    <w:rsid w:val="76F26C14"/>
    <w:rsid w:val="771670BC"/>
    <w:rsid w:val="776C6361"/>
    <w:rsid w:val="7834014D"/>
    <w:rsid w:val="78AC5202"/>
    <w:rsid w:val="78B673FD"/>
    <w:rsid w:val="79261D55"/>
    <w:rsid w:val="79693308"/>
    <w:rsid w:val="799C3F57"/>
    <w:rsid w:val="79B277EB"/>
    <w:rsid w:val="79DA45C8"/>
    <w:rsid w:val="7AA339B1"/>
    <w:rsid w:val="7ACB2662"/>
    <w:rsid w:val="7B074F99"/>
    <w:rsid w:val="7BAB0D70"/>
    <w:rsid w:val="7C3D3992"/>
    <w:rsid w:val="7C602B91"/>
    <w:rsid w:val="7C83219D"/>
    <w:rsid w:val="7CE64029"/>
    <w:rsid w:val="7D29775C"/>
    <w:rsid w:val="7D46539A"/>
    <w:rsid w:val="7D593AD1"/>
    <w:rsid w:val="7D8A0E59"/>
    <w:rsid w:val="7E4B05E8"/>
    <w:rsid w:val="7E553215"/>
    <w:rsid w:val="7E870288"/>
    <w:rsid w:val="7E9F6680"/>
    <w:rsid w:val="7FD869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2"/>
    <w:basedOn w:val="1"/>
    <w:next w:val="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0"/>
    <w:pPr>
      <w:spacing w:line="312" w:lineRule="auto"/>
    </w:pPr>
    <w:rPr>
      <w:rFonts w:ascii="Arial" w:hAnsi="Arial" w:eastAsia="楷体_GB2312"/>
      <w:spacing w:val="20"/>
      <w:sz w:val="24"/>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5">
    <w:name w:val="{936e4e6e-5310-4269-9eba-5080d9f28de4}"/>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5</TotalTime>
  <ScaleCrop>false</ScaleCrop>
  <LinksUpToDate>false</LinksUpToDate>
  <CharactersWithSpaces>147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2021-12-13T02:47:57Z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2052-11.1.0.11115</vt:lpwstr>
  </property>
</Properties>
</file>