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line="360" w:lineRule="auto"/>
              <w:jc w:val="center"/>
              <w:rPr>
                <w:sz w:val="21"/>
                <w:szCs w:val="21"/>
              </w:rPr>
            </w:pPr>
            <w:r>
              <w:rPr>
                <w:rFonts w:hint="eastAsia"/>
                <w:sz w:val="21"/>
                <w:szCs w:val="21"/>
              </w:rPr>
              <w:t>过程与活动、</w:t>
            </w:r>
          </w:p>
          <w:p>
            <w:pPr>
              <w:spacing w:line="360" w:lineRule="auto"/>
              <w:jc w:val="center"/>
              <w:rPr>
                <w:sz w:val="21"/>
                <w:szCs w:val="21"/>
              </w:rPr>
            </w:pPr>
            <w:r>
              <w:rPr>
                <w:rFonts w:hint="eastAsia"/>
                <w:sz w:val="21"/>
                <w:szCs w:val="21"/>
              </w:rPr>
              <w:t>抽样计划</w:t>
            </w:r>
          </w:p>
        </w:tc>
        <w:tc>
          <w:tcPr>
            <w:tcW w:w="960" w:type="dxa"/>
            <w:vMerge w:val="restart"/>
            <w:vAlign w:val="center"/>
          </w:tcPr>
          <w:p>
            <w:pPr>
              <w:spacing w:line="360" w:lineRule="auto"/>
              <w:rPr>
                <w:sz w:val="21"/>
                <w:szCs w:val="21"/>
              </w:rPr>
            </w:pPr>
            <w:r>
              <w:rPr>
                <w:rFonts w:hint="eastAsia"/>
                <w:sz w:val="21"/>
                <w:szCs w:val="21"/>
              </w:rPr>
              <w:t>涉及</w:t>
            </w:r>
          </w:p>
          <w:p>
            <w:pPr>
              <w:spacing w:line="360" w:lineRule="auto"/>
              <w:rPr>
                <w:sz w:val="21"/>
                <w:szCs w:val="21"/>
              </w:rPr>
            </w:pPr>
            <w:r>
              <w:rPr>
                <w:rFonts w:hint="eastAsia"/>
                <w:sz w:val="21"/>
                <w:szCs w:val="21"/>
              </w:rPr>
              <w:t>条款</w:t>
            </w:r>
          </w:p>
        </w:tc>
        <w:tc>
          <w:tcPr>
            <w:tcW w:w="10004" w:type="dxa"/>
            <w:vAlign w:val="center"/>
          </w:tcPr>
          <w:p>
            <w:pPr>
              <w:spacing w:line="360" w:lineRule="auto"/>
              <w:rPr>
                <w:sz w:val="21"/>
                <w:szCs w:val="21"/>
              </w:rPr>
            </w:pPr>
            <w:r>
              <w:rPr>
                <w:rFonts w:hint="eastAsia"/>
                <w:sz w:val="21"/>
                <w:szCs w:val="21"/>
              </w:rPr>
              <w:t>受审核部门：</w:t>
            </w:r>
            <w:r>
              <w:rPr>
                <w:rFonts w:hint="eastAsia"/>
                <w:color w:val="000000"/>
                <w:sz w:val="21"/>
                <w:szCs w:val="21"/>
                <w:u w:val="none"/>
                <w:lang w:val="en-US" w:eastAsia="zh-CN"/>
              </w:rPr>
              <w:t>金陶丽都小区</w:t>
            </w:r>
            <w:r>
              <w:rPr>
                <w:rFonts w:hint="eastAsia"/>
                <w:sz w:val="21"/>
                <w:szCs w:val="21"/>
                <w:u w:val="none"/>
                <w:lang w:eastAsia="zh-CN"/>
              </w:rPr>
              <w:t>（</w:t>
            </w:r>
            <w:r>
              <w:rPr>
                <w:sz w:val="21"/>
                <w:szCs w:val="21"/>
              </w:rPr>
              <w:t xml:space="preserve"> </w:t>
            </w:r>
            <w:r>
              <w:rPr>
                <w:rFonts w:hint="eastAsia"/>
                <w:sz w:val="21"/>
                <w:szCs w:val="21"/>
                <w:lang w:val="en-US" w:eastAsia="zh-CN"/>
              </w:rPr>
              <w:t>含夜班）</w:t>
            </w:r>
            <w:r>
              <w:rPr>
                <w:sz w:val="21"/>
                <w:szCs w:val="21"/>
              </w:rPr>
              <w:t xml:space="preserve">            </w:t>
            </w:r>
            <w:r>
              <w:rPr>
                <w:rFonts w:hint="eastAsia"/>
                <w:sz w:val="21"/>
                <w:szCs w:val="21"/>
              </w:rPr>
              <w:t>主管领导：</w:t>
            </w:r>
            <w:r>
              <w:rPr>
                <w:rFonts w:hint="eastAsia"/>
                <w:sz w:val="21"/>
                <w:szCs w:val="21"/>
                <w:lang w:val="en-US" w:eastAsia="zh-CN"/>
              </w:rPr>
              <w:t>冯新威</w:t>
            </w:r>
            <w:r>
              <w:rPr>
                <w:sz w:val="21"/>
                <w:szCs w:val="21"/>
              </w:rPr>
              <w:t xml:space="preserve">             </w:t>
            </w:r>
            <w:r>
              <w:rPr>
                <w:rFonts w:hint="eastAsia"/>
                <w:sz w:val="21"/>
                <w:szCs w:val="21"/>
              </w:rPr>
              <w:t>陪同人员：</w:t>
            </w:r>
            <w:bookmarkStart w:id="0" w:name="管理者代表"/>
            <w:r>
              <w:rPr>
                <w:rFonts w:hint="eastAsia"/>
                <w:sz w:val="21"/>
                <w:szCs w:val="21"/>
              </w:rPr>
              <w:t>张林飞</w:t>
            </w:r>
            <w:bookmarkEnd w:id="0"/>
            <w:r>
              <w:rPr>
                <w:rFonts w:hint="eastAsia"/>
                <w:sz w:val="21"/>
                <w:szCs w:val="21"/>
              </w:rPr>
              <w:t xml:space="preserve"> </w:t>
            </w:r>
          </w:p>
        </w:tc>
        <w:tc>
          <w:tcPr>
            <w:tcW w:w="1585" w:type="dxa"/>
            <w:vMerge w:val="restart"/>
            <w:vAlign w:val="center"/>
          </w:tcPr>
          <w:p>
            <w:pPr>
              <w:spacing w:line="360" w:lineRule="auto"/>
              <w:rPr>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rPr>
                <w:sz w:val="21"/>
                <w:szCs w:val="21"/>
              </w:rPr>
            </w:pPr>
          </w:p>
        </w:tc>
        <w:tc>
          <w:tcPr>
            <w:tcW w:w="960" w:type="dxa"/>
            <w:vMerge w:val="continue"/>
            <w:vAlign w:val="center"/>
          </w:tcPr>
          <w:p>
            <w:pPr>
              <w:spacing w:line="360" w:lineRule="auto"/>
              <w:rPr>
                <w:sz w:val="21"/>
                <w:szCs w:val="21"/>
              </w:rPr>
            </w:pPr>
          </w:p>
        </w:tc>
        <w:tc>
          <w:tcPr>
            <w:tcW w:w="10004" w:type="dxa"/>
            <w:vAlign w:val="center"/>
          </w:tcPr>
          <w:p>
            <w:pPr>
              <w:spacing w:before="120" w:line="360" w:lineRule="auto"/>
              <w:rPr>
                <w:sz w:val="21"/>
                <w:szCs w:val="21"/>
              </w:rPr>
            </w:pPr>
            <w:r>
              <w:rPr>
                <w:rFonts w:hint="eastAsia"/>
                <w:sz w:val="21"/>
                <w:szCs w:val="21"/>
              </w:rPr>
              <w:t>审核员：</w:t>
            </w:r>
            <w:bookmarkStart w:id="1" w:name="审核组成员不含组长"/>
            <w:r>
              <w:rPr>
                <w:rFonts w:hint="eastAsia"/>
                <w:sz w:val="21"/>
                <w:szCs w:val="21"/>
                <w:lang w:val="en-US" w:eastAsia="zh-CN"/>
              </w:rPr>
              <w:t>周文</w:t>
            </w:r>
            <w:r>
              <w:rPr>
                <w:rFonts w:hint="eastAsia"/>
                <w:sz w:val="21"/>
                <w:szCs w:val="21"/>
              </w:rPr>
              <w:t>，曲丽娜，</w:t>
            </w:r>
            <w:bookmarkEnd w:id="1"/>
            <w:r>
              <w:rPr>
                <w:sz w:val="21"/>
                <w:szCs w:val="21"/>
              </w:rPr>
              <w:t xml:space="preserve">                </w:t>
            </w:r>
            <w:r>
              <w:rPr>
                <w:rFonts w:hint="eastAsia"/>
                <w:sz w:val="21"/>
                <w:szCs w:val="21"/>
              </w:rPr>
              <w:t>审核时间：</w:t>
            </w:r>
            <w:bookmarkStart w:id="2" w:name="审核日期"/>
            <w:r>
              <w:rPr>
                <w:sz w:val="21"/>
                <w:szCs w:val="21"/>
              </w:rPr>
              <w:t xml:space="preserve">2021年11月17日 </w:t>
            </w:r>
            <w:r>
              <w:rPr>
                <w:rFonts w:hint="eastAsia"/>
                <w:sz w:val="21"/>
                <w:szCs w:val="21"/>
                <w:lang w:val="en-US" w:eastAsia="zh-CN"/>
              </w:rPr>
              <w:t>夜晚</w:t>
            </w:r>
            <w:r>
              <w:rPr>
                <w:sz w:val="21"/>
                <w:szCs w:val="21"/>
              </w:rPr>
              <w:t>至2021年11月18日</w:t>
            </w:r>
            <w:bookmarkEnd w:id="2"/>
          </w:p>
        </w:tc>
        <w:tc>
          <w:tcPr>
            <w:tcW w:w="1585" w:type="dxa"/>
            <w:vMerge w:val="continue"/>
          </w:tcPr>
          <w:p>
            <w:pPr>
              <w:spacing w:line="36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rPr>
                <w:sz w:val="21"/>
                <w:szCs w:val="21"/>
              </w:rPr>
            </w:pPr>
          </w:p>
        </w:tc>
        <w:tc>
          <w:tcPr>
            <w:tcW w:w="960" w:type="dxa"/>
            <w:vMerge w:val="continue"/>
            <w:vAlign w:val="center"/>
          </w:tcPr>
          <w:p>
            <w:pPr>
              <w:spacing w:line="360" w:lineRule="auto"/>
              <w:rPr>
                <w:sz w:val="21"/>
                <w:szCs w:val="21"/>
              </w:rPr>
            </w:pPr>
          </w:p>
        </w:tc>
        <w:tc>
          <w:tcPr>
            <w:tcW w:w="10004" w:type="dxa"/>
            <w:vAlign w:val="center"/>
          </w:tcPr>
          <w:p>
            <w:pPr>
              <w:spacing w:line="360" w:lineRule="auto"/>
              <w:rPr>
                <w:rFonts w:hint="eastAsia"/>
                <w:sz w:val="21"/>
                <w:szCs w:val="21"/>
              </w:rPr>
            </w:pPr>
            <w:r>
              <w:rPr>
                <w:rFonts w:hint="eastAsia"/>
                <w:sz w:val="21"/>
                <w:szCs w:val="21"/>
              </w:rPr>
              <w:t>审核条款：</w:t>
            </w:r>
          </w:p>
          <w:p>
            <w:pPr>
              <w:spacing w:line="360" w:lineRule="auto"/>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Q：7.1.3/7.1.4/</w:t>
            </w:r>
            <w:r>
              <w:rPr>
                <w:rFonts w:hint="eastAsia" w:ascii="仿宋" w:hAnsi="仿宋" w:eastAsia="仿宋" w:cs="仿宋"/>
                <w:b w:val="0"/>
                <w:bCs w:val="0"/>
                <w:sz w:val="21"/>
                <w:szCs w:val="21"/>
              </w:rPr>
              <w:t>8.5.1/8.5.2/8.5.3/8.5.4/8.6；</w:t>
            </w:r>
          </w:p>
          <w:p>
            <w:pPr>
              <w:spacing w:line="360" w:lineRule="auto"/>
              <w:rPr>
                <w:rFonts w:hint="eastAsia" w:ascii="仿宋" w:hAnsi="仿宋" w:eastAsia="仿宋" w:cs="仿宋"/>
                <w:b w:val="0"/>
                <w:bCs w:val="0"/>
                <w:sz w:val="21"/>
                <w:szCs w:val="21"/>
              </w:rPr>
            </w:pPr>
            <w:r>
              <w:rPr>
                <w:rFonts w:hint="eastAsia" w:ascii="仿宋" w:hAnsi="仿宋" w:eastAsia="仿宋" w:cs="仿宋"/>
                <w:b w:val="0"/>
                <w:bCs w:val="0"/>
                <w:sz w:val="21"/>
                <w:szCs w:val="21"/>
              </w:rPr>
              <w:t>E</w:t>
            </w:r>
            <w:r>
              <w:rPr>
                <w:rFonts w:hint="eastAsia" w:ascii="仿宋" w:hAnsi="仿宋" w:eastAsia="仿宋" w:cs="仿宋"/>
                <w:b w:val="0"/>
                <w:bCs w:val="0"/>
                <w:sz w:val="21"/>
                <w:szCs w:val="21"/>
                <w:lang w:val="en-US" w:eastAsia="zh-CN"/>
              </w:rPr>
              <w:t>：</w:t>
            </w:r>
            <w:r>
              <w:rPr>
                <w:rFonts w:hint="eastAsia" w:ascii="仿宋" w:hAnsi="仿宋" w:eastAsia="仿宋" w:cs="仿宋"/>
                <w:b w:val="0"/>
                <w:bCs w:val="0"/>
                <w:sz w:val="21"/>
                <w:szCs w:val="21"/>
              </w:rPr>
              <w:t>5.3/6.1.2/8.1/8.2；</w:t>
            </w:r>
          </w:p>
          <w:p>
            <w:pPr>
              <w:numPr>
                <w:ilvl w:val="0"/>
                <w:numId w:val="1"/>
              </w:numPr>
              <w:spacing w:line="360" w:lineRule="auto"/>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项目简介</w:t>
            </w:r>
          </w:p>
          <w:p>
            <w:pPr>
              <w:numPr>
                <w:ilvl w:val="0"/>
                <w:numId w:val="1"/>
              </w:numPr>
              <w:spacing w:line="360" w:lineRule="auto"/>
              <w:ind w:left="0" w:leftChars="0" w:firstLine="0" w:firstLineChars="0"/>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项目现场物业管理服务</w:t>
            </w:r>
            <w:r>
              <w:rPr>
                <w:rFonts w:hint="eastAsia" w:ascii="仿宋" w:hAnsi="仿宋" w:eastAsia="仿宋" w:cs="仿宋"/>
                <w:b w:val="0"/>
                <w:bCs w:val="0"/>
                <w:sz w:val="21"/>
                <w:szCs w:val="21"/>
              </w:rPr>
              <w:t>过程风险确定及策划，包括职责分配、风险识别、目标管理等</w:t>
            </w:r>
            <w:r>
              <w:rPr>
                <w:rFonts w:hint="eastAsia" w:ascii="仿宋" w:hAnsi="仿宋" w:eastAsia="仿宋" w:cs="仿宋"/>
                <w:b w:val="0"/>
                <w:bCs w:val="0"/>
                <w:sz w:val="21"/>
                <w:szCs w:val="21"/>
                <w:lang w:eastAsia="zh-CN"/>
              </w:rPr>
              <w:t>；</w:t>
            </w:r>
          </w:p>
          <w:p>
            <w:pPr>
              <w:numPr>
                <w:ilvl w:val="0"/>
                <w:numId w:val="0"/>
              </w:numPr>
              <w:spacing w:line="360" w:lineRule="auto"/>
              <w:ind w:leftChars="0"/>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w:t>
            </w:r>
            <w:r>
              <w:rPr>
                <w:rFonts w:hint="eastAsia" w:ascii="仿宋" w:hAnsi="仿宋" w:eastAsia="仿宋" w:cs="仿宋"/>
                <w:b w:val="0"/>
                <w:bCs w:val="0"/>
                <w:sz w:val="21"/>
                <w:szCs w:val="21"/>
              </w:rPr>
              <w:t>环境因素和危险源</w:t>
            </w:r>
            <w:r>
              <w:rPr>
                <w:rFonts w:hint="eastAsia" w:ascii="仿宋" w:hAnsi="仿宋" w:eastAsia="仿宋" w:cs="仿宋"/>
                <w:b w:val="0"/>
                <w:bCs w:val="0"/>
                <w:sz w:val="21"/>
                <w:szCs w:val="21"/>
                <w:lang w:val="en-US" w:eastAsia="zh-CN"/>
              </w:rPr>
              <w:t>及职业健康安全风险机遇</w:t>
            </w:r>
            <w:r>
              <w:rPr>
                <w:rFonts w:hint="eastAsia" w:ascii="仿宋" w:hAnsi="仿宋" w:eastAsia="仿宋" w:cs="仿宋"/>
                <w:b w:val="0"/>
                <w:bCs w:val="0"/>
                <w:sz w:val="21"/>
                <w:szCs w:val="21"/>
              </w:rPr>
              <w:t>辨识的充分性、风险评价的有效性</w:t>
            </w:r>
          </w:p>
          <w:p>
            <w:pPr>
              <w:pStyle w:val="12"/>
              <w:numPr>
                <w:ilvl w:val="0"/>
                <w:numId w:val="1"/>
              </w:numPr>
              <w:spacing w:line="360" w:lineRule="auto"/>
              <w:ind w:left="0" w:leftChars="0" w:firstLine="0" w:firstLineChars="0"/>
              <w:rPr>
                <w:rFonts w:hint="eastAsia" w:ascii="仿宋" w:hAnsi="仿宋" w:eastAsia="仿宋" w:cs="仿宋"/>
                <w:b w:val="0"/>
                <w:bCs w:val="0"/>
                <w:sz w:val="21"/>
                <w:szCs w:val="21"/>
              </w:rPr>
            </w:pPr>
            <w:r>
              <w:rPr>
                <w:rFonts w:hint="eastAsia" w:ascii="仿宋" w:hAnsi="仿宋" w:eastAsia="仿宋" w:cs="仿宋"/>
                <w:b w:val="0"/>
                <w:bCs w:val="0"/>
                <w:sz w:val="21"/>
                <w:szCs w:val="21"/>
              </w:rPr>
              <w:t>现场设备设施和工作环境管理</w:t>
            </w:r>
          </w:p>
          <w:p>
            <w:pPr>
              <w:pStyle w:val="12"/>
              <w:numPr>
                <w:ilvl w:val="0"/>
                <w:numId w:val="1"/>
              </w:numPr>
              <w:spacing w:line="360" w:lineRule="auto"/>
              <w:ind w:left="0" w:leftChars="0" w:firstLine="0" w:firstLineChars="0"/>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监视和测量资源配置的有效性以及经校准和验证的符合性；</w:t>
            </w:r>
          </w:p>
          <w:p>
            <w:pPr>
              <w:pStyle w:val="12"/>
              <w:numPr>
                <w:ilvl w:val="0"/>
                <w:numId w:val="1"/>
              </w:numPr>
              <w:spacing w:line="360" w:lineRule="auto"/>
              <w:ind w:left="0" w:leftChars="0" w:firstLine="0" w:firstLineChars="0"/>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项目现场物业管理服务过程控制，包括标识、防护、顾客财产及交付后的活动；</w:t>
            </w:r>
          </w:p>
          <w:p>
            <w:pPr>
              <w:pStyle w:val="12"/>
              <w:widowControl w:val="0"/>
              <w:numPr>
                <w:ilvl w:val="0"/>
                <w:numId w:val="1"/>
              </w:numPr>
              <w:spacing w:before="25" w:after="25" w:line="360" w:lineRule="auto"/>
              <w:ind w:left="0" w:leftChars="0" w:firstLine="0" w:firstLineChars="0"/>
              <w:jc w:val="both"/>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服务放行</w:t>
            </w:r>
          </w:p>
          <w:p>
            <w:pPr>
              <w:pStyle w:val="12"/>
              <w:numPr>
                <w:ilvl w:val="0"/>
                <w:numId w:val="1"/>
              </w:numPr>
              <w:spacing w:line="360" w:lineRule="auto"/>
              <w:ind w:left="0" w:leftChars="0" w:firstLine="0" w:firstLineChars="0"/>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结合项目现场物业管理服务</w:t>
            </w:r>
            <w:r>
              <w:rPr>
                <w:rFonts w:hint="eastAsia" w:ascii="仿宋" w:hAnsi="仿宋" w:eastAsia="仿宋" w:cs="仿宋"/>
                <w:b w:val="0"/>
                <w:bCs w:val="0"/>
                <w:sz w:val="21"/>
                <w:szCs w:val="21"/>
              </w:rPr>
              <w:t>业务过程活动，关注其环境因素、危险源辨识 的充分性以及运行控制的有效性与应急响应控制；</w:t>
            </w:r>
          </w:p>
          <w:p>
            <w:pPr>
              <w:pStyle w:val="12"/>
              <w:numPr>
                <w:ilvl w:val="0"/>
                <w:numId w:val="1"/>
              </w:numPr>
              <w:spacing w:line="360" w:lineRule="auto"/>
              <w:ind w:left="0" w:leftChars="0" w:firstLine="0" w:firstLineChars="0"/>
              <w:rPr>
                <w:rFonts w:hint="eastAsia"/>
                <w:sz w:val="21"/>
                <w:szCs w:val="21"/>
              </w:rPr>
            </w:pPr>
            <w:r>
              <w:rPr>
                <w:rFonts w:hint="eastAsia" w:ascii="仿宋" w:hAnsi="仿宋" w:eastAsia="仿宋" w:cs="仿宋"/>
                <w:b w:val="0"/>
                <w:bCs w:val="0"/>
                <w:sz w:val="21"/>
                <w:szCs w:val="21"/>
                <w:lang w:val="en-US" w:eastAsia="zh-CN"/>
              </w:rPr>
              <w:t>夜班</w:t>
            </w:r>
            <w:r>
              <w:rPr>
                <w:rFonts w:hint="eastAsia" w:ascii="仿宋" w:hAnsi="仿宋" w:eastAsia="仿宋" w:cs="仿宋"/>
                <w:b w:val="0"/>
                <w:bCs w:val="0"/>
                <w:sz w:val="21"/>
                <w:szCs w:val="21"/>
              </w:rPr>
              <w:t>现场设备和工作环境管理及现场运行控制</w:t>
            </w:r>
          </w:p>
        </w:tc>
        <w:tc>
          <w:tcPr>
            <w:tcW w:w="1585" w:type="dxa"/>
            <w:vMerge w:val="continue"/>
          </w:tcPr>
          <w:p>
            <w:pPr>
              <w:spacing w:line="36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spacing w:line="360" w:lineRule="auto"/>
              <w:rPr>
                <w:rFonts w:hint="default" w:eastAsia="宋体"/>
                <w:sz w:val="21"/>
                <w:szCs w:val="21"/>
                <w:lang w:val="en-US" w:eastAsia="zh-CN"/>
              </w:rPr>
            </w:pPr>
            <w:r>
              <w:rPr>
                <w:rFonts w:hint="eastAsia"/>
                <w:sz w:val="21"/>
                <w:szCs w:val="21"/>
                <w:lang w:val="en-US" w:eastAsia="zh-CN"/>
              </w:rPr>
              <w:t>项目简介</w:t>
            </w:r>
          </w:p>
        </w:tc>
        <w:tc>
          <w:tcPr>
            <w:tcW w:w="960" w:type="dxa"/>
            <w:vAlign w:val="center"/>
          </w:tcPr>
          <w:p>
            <w:pPr>
              <w:spacing w:line="360" w:lineRule="auto"/>
              <w:rPr>
                <w:sz w:val="21"/>
                <w:szCs w:val="21"/>
              </w:rPr>
            </w:pPr>
          </w:p>
        </w:tc>
        <w:tc>
          <w:tcPr>
            <w:tcW w:w="10004" w:type="dxa"/>
            <w:vAlign w:val="center"/>
          </w:tcPr>
          <w:p>
            <w:pPr>
              <w:pStyle w:val="12"/>
              <w:numPr>
                <w:ilvl w:val="0"/>
                <w:numId w:val="0"/>
              </w:numPr>
              <w:spacing w:line="360" w:lineRule="auto"/>
              <w:ind w:leftChars="0" w:firstLine="460" w:firstLineChars="200"/>
              <w:rPr>
                <w:rFonts w:hint="eastAsia"/>
                <w:color w:val="000000"/>
                <w:sz w:val="21"/>
                <w:szCs w:val="21"/>
                <w:u w:val="none"/>
                <w:lang w:val="en-US" w:eastAsia="zh-CN"/>
              </w:rPr>
            </w:pPr>
            <w:r>
              <w:rPr>
                <w:rFonts w:hint="eastAsia"/>
                <w:color w:val="000000"/>
                <w:sz w:val="21"/>
                <w:szCs w:val="21"/>
                <w:u w:val="none"/>
                <w:lang w:val="en-US" w:eastAsia="zh-CN"/>
              </w:rPr>
              <w:t>金陶丽都小区位于馆陶县金凤大道，距离本公司总部办公室距离10分钟车程；建面11万平左右共20栋楼，目前已全部交付使用；小区配置有中控室、配电室、水泵房、物业用房及门卫岗亭。</w:t>
            </w:r>
          </w:p>
          <w:p>
            <w:pPr>
              <w:pStyle w:val="12"/>
              <w:numPr>
                <w:ilvl w:val="0"/>
                <w:numId w:val="0"/>
              </w:numPr>
              <w:spacing w:line="360" w:lineRule="auto"/>
              <w:ind w:leftChars="0" w:firstLine="460" w:firstLineChars="200"/>
              <w:rPr>
                <w:rFonts w:hint="default"/>
                <w:color w:val="000000"/>
                <w:sz w:val="21"/>
                <w:szCs w:val="21"/>
                <w:u w:val="none"/>
                <w:lang w:val="en-US" w:eastAsia="zh-CN"/>
              </w:rPr>
            </w:pPr>
            <w:r>
              <w:rPr>
                <w:rFonts w:hint="eastAsia"/>
                <w:color w:val="000000"/>
                <w:sz w:val="21"/>
                <w:szCs w:val="21"/>
                <w:u w:val="none"/>
                <w:lang w:val="en-US" w:eastAsia="zh-CN"/>
              </w:rPr>
              <w:t>公司目前主要除白天服务以外，门岗实施24小时轮班制度，8：00’-19：30’-8：00’。为配合17日夜间审核，门岗其中一班次员工加班到20：00’。</w:t>
            </w:r>
          </w:p>
        </w:tc>
        <w:tc>
          <w:tcPr>
            <w:tcW w:w="1585" w:type="dxa"/>
          </w:tcPr>
          <w:p>
            <w:pPr>
              <w:spacing w:line="36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sz w:val="21"/>
                <w:szCs w:val="21"/>
              </w:rPr>
            </w:pPr>
            <w:r>
              <w:rPr>
                <w:rFonts w:hint="eastAsia" w:asciiTheme="minorEastAsia" w:hAnsiTheme="minorEastAsia" w:eastAsiaTheme="minorEastAsia" w:cstheme="minorEastAsia"/>
                <w:b w:val="0"/>
                <w:bCs w:val="0"/>
                <w:spacing w:val="10"/>
                <w:kern w:val="2"/>
                <w:sz w:val="21"/>
                <w:szCs w:val="21"/>
                <w:lang w:val="en-US" w:eastAsia="zh-CN" w:bidi="ar-SA"/>
              </w:rPr>
              <w:t>物业管理服务过程风险确定及策划，包括职责分配、风险识别</w:t>
            </w:r>
          </w:p>
        </w:tc>
        <w:tc>
          <w:tcPr>
            <w:tcW w:w="960" w:type="dxa"/>
          </w:tcPr>
          <w:p>
            <w:pPr>
              <w:spacing w:line="360" w:lineRule="auto"/>
              <w:rPr>
                <w:sz w:val="21"/>
                <w:szCs w:val="21"/>
              </w:rPr>
            </w:pPr>
            <w:r>
              <w:rPr>
                <w:rFonts w:hint="eastAsia" w:asciiTheme="minorEastAsia" w:hAnsiTheme="minorEastAsia" w:eastAsiaTheme="minorEastAsia" w:cstheme="minorEastAsia"/>
                <w:sz w:val="21"/>
                <w:szCs w:val="21"/>
                <w:lang w:val="en-US" w:eastAsia="zh-CN"/>
              </w:rPr>
              <w:t>QEO5.3E6.1.2</w:t>
            </w:r>
          </w:p>
        </w:tc>
        <w:tc>
          <w:tcPr>
            <w:tcW w:w="10004" w:type="dxa"/>
          </w:tcPr>
          <w:p>
            <w:pPr>
              <w:pStyle w:val="13"/>
              <w:spacing w:line="360" w:lineRule="auto"/>
              <w:rPr>
                <w:rFonts w:hint="eastAsia"/>
                <w:sz w:val="21"/>
                <w:szCs w:val="21"/>
                <w:lang w:val="en-US" w:eastAsia="zh-CN"/>
              </w:rPr>
            </w:pPr>
            <w:r>
              <w:rPr>
                <w:rFonts w:hint="eastAsia"/>
                <w:sz w:val="21"/>
                <w:szCs w:val="21"/>
                <w:lang w:val="en-US" w:eastAsia="zh-CN"/>
              </w:rPr>
              <w:t xml:space="preserve"> </w:t>
            </w:r>
            <w:r>
              <w:rPr>
                <w:rFonts w:hint="eastAsia"/>
                <w:sz w:val="21"/>
                <w:szCs w:val="21"/>
                <w:lang w:eastAsia="zh-CN"/>
              </w:rPr>
              <w:t>——</w:t>
            </w:r>
            <w:r>
              <w:rPr>
                <w:rFonts w:hint="eastAsia"/>
                <w:sz w:val="21"/>
                <w:szCs w:val="21"/>
              </w:rPr>
              <w:t>部门负责</w:t>
            </w:r>
            <w:r>
              <w:rPr>
                <w:rFonts w:hint="eastAsia"/>
                <w:sz w:val="21"/>
                <w:szCs w:val="21"/>
                <w:lang w:val="en-US" w:eastAsia="zh-CN"/>
              </w:rPr>
              <w:t>人冯新威介绍,该项目配备10人，主要负责以下工作内容：</w:t>
            </w:r>
          </w:p>
          <w:p>
            <w:pPr>
              <w:widowControl/>
              <w:spacing w:line="360" w:lineRule="auto"/>
              <w:ind w:firstLine="480"/>
              <w:textAlignment w:val="baseline"/>
              <w:rPr>
                <w:rFonts w:hint="eastAsia"/>
                <w:sz w:val="21"/>
                <w:szCs w:val="21"/>
              </w:rPr>
            </w:pPr>
            <w:r>
              <w:rPr>
                <w:rFonts w:hint="eastAsia"/>
                <w:sz w:val="21"/>
                <w:szCs w:val="21"/>
              </w:rPr>
              <w:t>a）负责</w:t>
            </w:r>
            <w:r>
              <w:rPr>
                <w:rFonts w:hint="eastAsia"/>
                <w:sz w:val="21"/>
                <w:szCs w:val="21"/>
                <w:lang w:eastAsia="zh-CN"/>
              </w:rPr>
              <w:t>物业管理服务</w:t>
            </w:r>
            <w:r>
              <w:rPr>
                <w:rFonts w:hint="eastAsia"/>
                <w:sz w:val="21"/>
                <w:szCs w:val="21"/>
              </w:rPr>
              <w:t>的检查工作；</w:t>
            </w:r>
          </w:p>
          <w:p>
            <w:pPr>
              <w:widowControl/>
              <w:spacing w:line="360" w:lineRule="auto"/>
              <w:ind w:firstLine="480"/>
              <w:textAlignment w:val="baseline"/>
              <w:rPr>
                <w:rFonts w:hint="eastAsia"/>
                <w:sz w:val="21"/>
                <w:szCs w:val="21"/>
              </w:rPr>
            </w:pPr>
            <w:r>
              <w:rPr>
                <w:rFonts w:hint="eastAsia"/>
                <w:sz w:val="21"/>
                <w:szCs w:val="21"/>
              </w:rPr>
              <w:t>b）负责</w:t>
            </w:r>
            <w:r>
              <w:rPr>
                <w:rFonts w:hint="eastAsia"/>
                <w:sz w:val="21"/>
                <w:szCs w:val="21"/>
                <w:lang w:eastAsia="zh-CN"/>
              </w:rPr>
              <w:t>物业管理服务</w:t>
            </w:r>
            <w:r>
              <w:rPr>
                <w:rFonts w:hint="eastAsia"/>
                <w:sz w:val="21"/>
                <w:szCs w:val="21"/>
              </w:rPr>
              <w:t>中的服务实施；</w:t>
            </w:r>
          </w:p>
          <w:p>
            <w:pPr>
              <w:spacing w:line="360" w:lineRule="auto"/>
              <w:rPr>
                <w:rFonts w:hint="eastAsia"/>
                <w:sz w:val="21"/>
                <w:szCs w:val="21"/>
              </w:rPr>
            </w:pPr>
            <w:r>
              <w:rPr>
                <w:rFonts w:hint="eastAsia"/>
                <w:sz w:val="21"/>
                <w:szCs w:val="21"/>
              </w:rPr>
              <w:t xml:space="preserve">    c）负责本部门重要环境因素和危险源的识别和评价，提出管理方案并实施；</w:t>
            </w:r>
          </w:p>
          <w:p>
            <w:pPr>
              <w:widowControl/>
              <w:spacing w:line="360" w:lineRule="auto"/>
              <w:ind w:firstLine="480"/>
              <w:textAlignment w:val="baseline"/>
              <w:rPr>
                <w:rFonts w:hint="eastAsia"/>
                <w:sz w:val="21"/>
                <w:szCs w:val="21"/>
              </w:rPr>
            </w:pPr>
            <w:r>
              <w:rPr>
                <w:rFonts w:hint="eastAsia"/>
                <w:sz w:val="21"/>
                <w:szCs w:val="21"/>
              </w:rPr>
              <w:t>d）负责本部门应急准备和响应计划落实及应急情况的善后处理，包括本部门应急准备的物资管理；</w:t>
            </w:r>
          </w:p>
          <w:p>
            <w:pPr>
              <w:widowControl/>
              <w:spacing w:line="360" w:lineRule="auto"/>
              <w:ind w:firstLine="480"/>
              <w:textAlignment w:val="baseline"/>
              <w:rPr>
                <w:rFonts w:hint="eastAsia"/>
                <w:sz w:val="21"/>
                <w:szCs w:val="21"/>
              </w:rPr>
            </w:pPr>
            <w:r>
              <w:rPr>
                <w:rFonts w:hint="eastAsia"/>
                <w:sz w:val="21"/>
                <w:szCs w:val="21"/>
              </w:rPr>
              <w:t>e）负责公司质量/环境/职业健康安全管理体系不符合、纠正和预防工作的统一归口管理。</w:t>
            </w:r>
          </w:p>
          <w:p>
            <w:pPr>
              <w:pStyle w:val="13"/>
              <w:spacing w:line="360" w:lineRule="auto"/>
              <w:ind w:firstLine="420" w:firstLineChars="200"/>
              <w:rPr>
                <w:rFonts w:hint="eastAsia"/>
                <w:sz w:val="21"/>
                <w:szCs w:val="21"/>
                <w:lang w:val="en-US" w:eastAsia="zh-CN"/>
              </w:rPr>
            </w:pPr>
          </w:p>
          <w:p>
            <w:pPr>
              <w:pStyle w:val="13"/>
              <w:spacing w:line="360" w:lineRule="auto"/>
              <w:ind w:firstLine="420" w:firstLineChars="200"/>
              <w:rPr>
                <w:rFonts w:hint="eastAsia"/>
                <w:sz w:val="21"/>
                <w:szCs w:val="21"/>
                <w:lang w:val="en-US" w:eastAsia="zh-CN"/>
              </w:rPr>
            </w:pPr>
            <w:r>
              <w:rPr>
                <w:rFonts w:hint="eastAsia"/>
                <w:sz w:val="21"/>
                <w:szCs w:val="21"/>
                <w:lang w:val="en-US" w:eastAsia="zh-CN"/>
              </w:rPr>
              <w:t>——跟踪核查其管理手册5.3文件内容，其部门负责人表述与文件规定基本一致。</w:t>
            </w:r>
          </w:p>
          <w:p>
            <w:pPr>
              <w:pStyle w:val="13"/>
              <w:spacing w:line="360" w:lineRule="auto"/>
              <w:rPr>
                <w:rFonts w:hint="eastAsia"/>
                <w:sz w:val="21"/>
                <w:szCs w:val="21"/>
                <w:lang w:val="en-US" w:eastAsia="zh-CN"/>
              </w:rPr>
            </w:pPr>
          </w:p>
          <w:p>
            <w:pPr>
              <w:pStyle w:val="13"/>
              <w:spacing w:line="360" w:lineRule="auto"/>
              <w:rPr>
                <w:rFonts w:hint="eastAsia"/>
                <w:sz w:val="21"/>
                <w:szCs w:val="21"/>
                <w:lang w:val="en-US" w:eastAsia="zh-CN"/>
              </w:rPr>
            </w:pPr>
            <w:r>
              <w:rPr>
                <w:rFonts w:hint="eastAsia"/>
                <w:sz w:val="21"/>
                <w:szCs w:val="21"/>
                <w:lang w:val="en-US" w:eastAsia="zh-CN"/>
              </w:rPr>
              <w:t>——岗位、职责和权限明确。</w:t>
            </w:r>
          </w:p>
          <w:p>
            <w:pPr>
              <w:pStyle w:val="13"/>
              <w:spacing w:line="360" w:lineRule="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——负责人介绍，项目点的环境、安全策划、运行按照主控部门策划的“环境因素识别和评价程序”、“</w:t>
            </w:r>
            <w:r>
              <w:rPr>
                <w:rFonts w:hint="eastAsia" w:asciiTheme="minorEastAsia" w:hAnsiTheme="minorEastAsia" w:eastAsiaTheme="minorEastAsia" w:cstheme="minorEastAsia"/>
                <w:iCs/>
                <w:sz w:val="21"/>
                <w:szCs w:val="21"/>
              </w:rPr>
              <w:t>废弃物控制程序</w:t>
            </w:r>
            <w:r>
              <w:rPr>
                <w:rFonts w:hint="eastAsia" w:asciiTheme="minorEastAsia" w:hAnsiTheme="minorEastAsia" w:eastAsiaTheme="minorEastAsia" w:cstheme="minorEastAsia"/>
                <w:kern w:val="2"/>
                <w:sz w:val="21"/>
                <w:szCs w:val="21"/>
                <w:lang w:val="en-US" w:eastAsia="zh-CN" w:bidi="ar-SA"/>
              </w:rPr>
              <w:t>”、“</w:t>
            </w:r>
            <w:r>
              <w:rPr>
                <w:rFonts w:hint="eastAsia" w:asciiTheme="minorEastAsia" w:hAnsiTheme="minorEastAsia" w:eastAsiaTheme="minorEastAsia" w:cstheme="minorEastAsia"/>
                <w:sz w:val="21"/>
                <w:szCs w:val="21"/>
              </w:rPr>
              <w:t>风险和机遇控制程序</w:t>
            </w:r>
            <w:r>
              <w:rPr>
                <w:rFonts w:hint="eastAsia" w:asciiTheme="minorEastAsia" w:hAnsiTheme="minorEastAsia" w:eastAsiaTheme="minorEastAsia" w:cstheme="minorEastAsia"/>
                <w:kern w:val="2"/>
                <w:sz w:val="21"/>
                <w:szCs w:val="21"/>
                <w:lang w:val="en-US" w:eastAsia="zh-CN" w:bidi="ar-SA"/>
              </w:rPr>
              <w:t>”及“环境管理方案”进行控制。</w:t>
            </w:r>
          </w:p>
          <w:p>
            <w:pPr>
              <w:pStyle w:val="13"/>
              <w:spacing w:line="360" w:lineRule="auto"/>
              <w:rPr>
                <w:rFonts w:hint="eastAsia" w:asciiTheme="minorEastAsia" w:hAnsiTheme="minorEastAsia" w:eastAsiaTheme="minorEastAsia" w:cstheme="minorEastAsia"/>
                <w:kern w:val="2"/>
                <w:sz w:val="21"/>
                <w:szCs w:val="21"/>
                <w:lang w:val="en-US" w:eastAsia="zh-CN" w:bidi="ar-SA"/>
              </w:rPr>
            </w:pPr>
          </w:p>
          <w:p>
            <w:pPr>
              <w:pStyle w:val="13"/>
              <w:spacing w:line="360" w:lineRule="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——查“环境因素调查评价清单”（项目部），按时态和状态对环境因素对环境的影响进行了评价，编审批日期齐全；与本部门相关的环境因素主要有：</w:t>
            </w:r>
          </w:p>
          <w:p>
            <w:pPr>
              <w:pStyle w:val="13"/>
              <w:spacing w:line="360" w:lineRule="auto"/>
              <w:ind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办公过程：生活污水、固体废弃物、潜在火灾、空调冷却液的泄漏等。</w:t>
            </w:r>
          </w:p>
          <w:p>
            <w:pPr>
              <w:pStyle w:val="13"/>
              <w:spacing w:line="360" w:lineRule="auto"/>
              <w:ind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服务现场：</w:t>
            </w:r>
            <w:r>
              <w:rPr>
                <w:rFonts w:hint="eastAsia" w:asciiTheme="minorEastAsia" w:hAnsiTheme="minorEastAsia" w:eastAsiaTheme="minorEastAsia" w:cstheme="minorEastAsia"/>
                <w:sz w:val="21"/>
                <w:szCs w:val="21"/>
              </w:rPr>
              <w:t>废水</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废包装袋</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扬尘</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垃圾撒落</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汽车尾气等。</w:t>
            </w:r>
          </w:p>
          <w:p>
            <w:pPr>
              <w:pStyle w:val="13"/>
              <w:spacing w:line="360" w:lineRule="auto"/>
              <w:ind w:firstLine="420" w:firstLineChars="200"/>
              <w:rPr>
                <w:rFonts w:hint="eastAsia" w:asciiTheme="minorEastAsia" w:hAnsiTheme="minorEastAsia" w:eastAsiaTheme="minorEastAsia" w:cstheme="minorEastAsia"/>
                <w:kern w:val="2"/>
                <w:sz w:val="21"/>
                <w:szCs w:val="21"/>
                <w:lang w:val="en-US" w:eastAsia="zh-CN" w:bidi="ar-SA"/>
              </w:rPr>
            </w:pPr>
          </w:p>
          <w:p>
            <w:pPr>
              <w:pStyle w:val="13"/>
              <w:spacing w:line="360" w:lineRule="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——查“重要环境因素清单”；编审批日期齐全；经识别与本部门相关的重要环境因素为：潜在火灾事故发生、固体废弃物处理、扬尘。</w:t>
            </w:r>
          </w:p>
          <w:p>
            <w:pPr>
              <w:pStyle w:val="13"/>
              <w:spacing w:line="360" w:lineRule="auto"/>
              <w:ind w:firstLine="420" w:firstLineChars="200"/>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控制方式：管理方案、执行管理规定、程序文件</w:t>
            </w:r>
          </w:p>
          <w:p>
            <w:pPr>
              <w:pStyle w:val="12"/>
              <w:spacing w:line="360" w:lineRule="auto"/>
              <w:rPr>
                <w:rFonts w:hint="eastAsia" w:asciiTheme="minorEastAsia" w:hAnsiTheme="minorEastAsia" w:eastAsiaTheme="minorEastAsia" w:cstheme="minorEastAsia"/>
                <w:sz w:val="21"/>
                <w:szCs w:val="21"/>
                <w:lang w:val="en-US" w:eastAsia="zh-CN"/>
              </w:rPr>
            </w:pPr>
          </w:p>
          <w:p>
            <w:pPr>
              <w:pStyle w:val="2"/>
              <w:spacing w:line="360" w:lineRule="auto"/>
              <w:rPr>
                <w:rFonts w:hint="eastAsia"/>
                <w:sz w:val="21"/>
                <w:szCs w:val="21"/>
                <w:lang w:val="en-US" w:eastAsia="zh-CN"/>
              </w:rPr>
            </w:pPr>
            <w:r>
              <w:rPr>
                <w:rFonts w:hint="eastAsia" w:asciiTheme="minorEastAsia" w:hAnsiTheme="minorEastAsia" w:eastAsiaTheme="minorEastAsia" w:cstheme="minorEastAsia"/>
                <w:sz w:val="21"/>
                <w:szCs w:val="21"/>
                <w:lang w:val="en-US" w:eastAsia="zh-CN"/>
              </w:rPr>
              <w:t>——环境因素的识别也控制基本符合。</w:t>
            </w:r>
          </w:p>
        </w:tc>
        <w:tc>
          <w:tcPr>
            <w:tcW w:w="1585" w:type="dxa"/>
          </w:tcPr>
          <w:p>
            <w:pPr>
              <w:spacing w:line="360" w:lineRule="auto"/>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pPr>
              <w:spacing w:line="360" w:lineRule="auto"/>
              <w:rPr>
                <w:rFonts w:hint="eastAsia" w:eastAsia="宋体"/>
                <w:sz w:val="21"/>
                <w:szCs w:val="21"/>
                <w:lang w:eastAsia="zh-CN"/>
              </w:rPr>
            </w:pPr>
            <w:r>
              <w:rPr>
                <w:rFonts w:hint="eastAsia" w:ascii="宋体" w:hAnsi="宋体" w:eastAsia="宋体" w:cs="宋体"/>
                <w:b w:val="0"/>
                <w:bCs/>
                <w:sz w:val="21"/>
                <w:szCs w:val="21"/>
              </w:rPr>
              <w:t>基础设施</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工作环境</w:t>
            </w:r>
          </w:p>
        </w:tc>
        <w:tc>
          <w:tcPr>
            <w:tcW w:w="960" w:type="dxa"/>
          </w:tcPr>
          <w:p>
            <w:pPr>
              <w:spacing w:line="360" w:lineRule="auto"/>
              <w:rPr>
                <w:sz w:val="21"/>
                <w:szCs w:val="21"/>
              </w:rPr>
            </w:pPr>
            <w:r>
              <w:rPr>
                <w:rFonts w:hint="eastAsia" w:ascii="仿宋" w:hAnsi="仿宋" w:eastAsia="仿宋" w:cs="仿宋"/>
                <w:b w:val="0"/>
                <w:bCs w:val="0"/>
                <w:sz w:val="21"/>
                <w:szCs w:val="21"/>
                <w:lang w:val="en-US" w:eastAsia="zh-CN"/>
              </w:rPr>
              <w:t>Q：7.1.3/7.1.4</w:t>
            </w:r>
          </w:p>
        </w:tc>
        <w:tc>
          <w:tcPr>
            <w:tcW w:w="10004" w:type="dxa"/>
          </w:tcPr>
          <w:p>
            <w:pPr>
              <w:spacing w:line="360" w:lineRule="auto"/>
              <w:jc w:val="both"/>
              <w:rPr>
                <w:rFonts w:hint="eastAsia"/>
              </w:rPr>
            </w:pPr>
            <w:r>
              <w:rPr>
                <w:rFonts w:hint="eastAsia"/>
                <w:lang w:eastAsia="zh-CN"/>
              </w:rPr>
              <w:t>——</w:t>
            </w:r>
            <w:r>
              <w:rPr>
                <w:rFonts w:hint="eastAsia"/>
              </w:rPr>
              <w:t>基础设施</w:t>
            </w:r>
          </w:p>
          <w:p>
            <w:pPr>
              <w:spacing w:line="360" w:lineRule="auto"/>
              <w:jc w:val="both"/>
              <w:rPr>
                <w:rFonts w:hint="eastAsia"/>
                <w:lang w:eastAsia="zh-CN"/>
              </w:rPr>
            </w:pPr>
            <w:r>
              <w:rPr>
                <w:rFonts w:hint="eastAsia"/>
              </w:rPr>
              <w:t>物业管理</w:t>
            </w:r>
            <w:r>
              <w:rPr>
                <w:rFonts w:hint="eastAsia"/>
                <w:lang w:val="en-US" w:eastAsia="zh-CN"/>
              </w:rPr>
              <w:t>设施</w:t>
            </w:r>
            <w:r>
              <w:rPr>
                <w:rFonts w:hint="eastAsia"/>
              </w:rPr>
              <w:t>设备：</w:t>
            </w:r>
            <w:r>
              <w:rPr>
                <w:rFonts w:hint="eastAsia"/>
                <w:lang w:val="en-US" w:eastAsia="zh-CN"/>
              </w:rPr>
              <w:t>物业用房、配电房、水泵房、保安岗亭</w:t>
            </w:r>
            <w:r>
              <w:rPr>
                <w:rFonts w:hint="eastAsia"/>
                <w:lang w:eastAsia="zh-CN"/>
              </w:rPr>
              <w:t>等</w:t>
            </w:r>
          </w:p>
          <w:p>
            <w:pPr>
              <w:spacing w:line="360" w:lineRule="auto"/>
              <w:jc w:val="both"/>
              <w:rPr>
                <w:rFonts w:hint="eastAsia"/>
              </w:rPr>
            </w:pPr>
            <w:r>
              <w:rPr>
                <w:rFonts w:hint="eastAsia"/>
              </w:rPr>
              <w:t>办公设备：电脑、电话等</w:t>
            </w:r>
          </w:p>
          <w:p>
            <w:pPr>
              <w:spacing w:line="360" w:lineRule="auto"/>
              <w:jc w:val="both"/>
              <w:rPr>
                <w:rFonts w:hint="eastAsia"/>
                <w:lang w:eastAsia="zh-CN"/>
              </w:rPr>
            </w:pPr>
            <w:r>
              <w:rPr>
                <w:rFonts w:hint="eastAsia"/>
                <w:lang w:eastAsia="zh-CN"/>
              </w:rPr>
              <w:t>保洁</w:t>
            </w:r>
            <w:r>
              <w:rPr>
                <w:rFonts w:hint="eastAsia"/>
              </w:rPr>
              <w:t>设备：拖把、抹布、扫帚</w:t>
            </w:r>
            <w:r>
              <w:rPr>
                <w:rFonts w:hint="eastAsia"/>
                <w:lang w:eastAsia="zh-CN"/>
              </w:rPr>
              <w:t>、</w:t>
            </w:r>
            <w:r>
              <w:rPr>
                <w:rFonts w:hint="eastAsia"/>
              </w:rPr>
              <w:t>洒水车、巡逻车、冲洗机、扫地车、手推割、三轮冲洗车</w:t>
            </w:r>
            <w:r>
              <w:rPr>
                <w:rFonts w:hint="eastAsia"/>
                <w:lang w:eastAsia="zh-CN"/>
              </w:rPr>
              <w:t>等</w:t>
            </w:r>
          </w:p>
          <w:p>
            <w:pPr>
              <w:spacing w:line="360" w:lineRule="auto"/>
              <w:jc w:val="both"/>
              <w:rPr>
                <w:rFonts w:hint="default"/>
                <w:lang w:val="en-US" w:eastAsia="zh-CN"/>
              </w:rPr>
            </w:pPr>
            <w:r>
              <w:rPr>
                <w:rFonts w:hint="eastAsia"/>
              </w:rPr>
              <w:t>特种设备：电梯</w:t>
            </w:r>
            <w:r>
              <w:rPr>
                <w:rFonts w:hint="eastAsia"/>
                <w:lang w:eastAsia="zh-CN"/>
              </w:rPr>
              <w:t>；</w:t>
            </w:r>
            <w:r>
              <w:rPr>
                <w:rFonts w:hint="eastAsia"/>
                <w:lang w:val="en-US" w:eastAsia="zh-CN"/>
              </w:rPr>
              <w:t>提供有检定报告，见扫描件</w:t>
            </w:r>
          </w:p>
          <w:p>
            <w:pPr>
              <w:spacing w:line="360" w:lineRule="auto"/>
              <w:jc w:val="both"/>
              <w:rPr>
                <w:rFonts w:hint="eastAsia"/>
              </w:rPr>
            </w:pPr>
            <w:r>
              <w:rPr>
                <w:rFonts w:hint="eastAsia"/>
              </w:rPr>
              <w:t>消防设施：消防栓、灭火器、应急灯等</w:t>
            </w:r>
          </w:p>
          <w:p>
            <w:pPr>
              <w:spacing w:line="360" w:lineRule="auto"/>
              <w:jc w:val="both"/>
              <w:rPr>
                <w:rFonts w:hint="eastAsia"/>
              </w:rPr>
            </w:pPr>
            <w:r>
              <w:rPr>
                <w:rFonts w:hint="eastAsia"/>
              </w:rPr>
              <w:t>定期维护与保养。公司根据办公的需要，配备了办公用房及通讯等基础设施。公司编制了《基础设施和工作环境控制程序》 并配备有办公桌椅，水电、消防设施设备，并有电脑、电话等办公设备；满足办公需要。</w:t>
            </w:r>
          </w:p>
          <w:p>
            <w:pPr>
              <w:spacing w:line="360" w:lineRule="auto"/>
              <w:jc w:val="both"/>
              <w:rPr>
                <w:rFonts w:hint="eastAsia"/>
              </w:rPr>
            </w:pPr>
            <w:r>
              <w:rPr>
                <w:rFonts w:hint="eastAsia"/>
              </w:rPr>
              <w:t>抽：《服务设施检修计划》</w:t>
            </w:r>
          </w:p>
          <w:p>
            <w:pPr>
              <w:spacing w:line="360" w:lineRule="auto"/>
              <w:jc w:val="both"/>
              <w:rPr>
                <w:rFonts w:hint="eastAsia"/>
              </w:rPr>
            </w:pPr>
            <w:r>
              <w:rPr>
                <w:rFonts w:hint="eastAsia"/>
              </w:rPr>
              <w:t>电脑：2021年</w:t>
            </w:r>
            <w:r>
              <w:rPr>
                <w:rFonts w:hint="eastAsia"/>
                <w:lang w:val="en-US" w:eastAsia="zh-CN"/>
              </w:rPr>
              <w:t>9</w:t>
            </w:r>
            <w:r>
              <w:rPr>
                <w:rFonts w:hint="eastAsia"/>
              </w:rPr>
              <w:t>月底统一检修，重装系统，升级，统一杀毒，系统打补丁。</w:t>
            </w:r>
          </w:p>
          <w:p>
            <w:pPr>
              <w:spacing w:line="360" w:lineRule="auto"/>
              <w:jc w:val="both"/>
              <w:rPr>
                <w:rFonts w:hint="eastAsia"/>
              </w:rPr>
            </w:pPr>
            <w:r>
              <w:rPr>
                <w:rFonts w:hint="eastAsia"/>
              </w:rPr>
              <w:t>编制：</w:t>
            </w:r>
            <w:r>
              <w:rPr>
                <w:rFonts w:hint="eastAsia"/>
                <w:lang w:eastAsia="zh-CN"/>
              </w:rPr>
              <w:t>杨希燕</w:t>
            </w:r>
            <w:r>
              <w:rPr>
                <w:rFonts w:hint="eastAsia"/>
              </w:rPr>
              <w:t xml:space="preserve">                         批准：</w:t>
            </w:r>
            <w:r>
              <w:rPr>
                <w:rFonts w:hint="eastAsia"/>
                <w:lang w:eastAsia="zh-CN"/>
              </w:rPr>
              <w:t>窦景阵</w:t>
            </w:r>
            <w:r>
              <w:rPr>
                <w:rFonts w:hint="eastAsia"/>
              </w:rPr>
              <w:t xml:space="preserve"> </w:t>
            </w:r>
          </w:p>
          <w:p>
            <w:pPr>
              <w:spacing w:line="360" w:lineRule="auto"/>
              <w:jc w:val="both"/>
              <w:rPr>
                <w:rFonts w:hint="eastAsia"/>
              </w:rPr>
            </w:pPr>
            <w:r>
              <w:rPr>
                <w:rFonts w:hint="eastAsia"/>
              </w:rPr>
              <w:t>时间：2021.</w:t>
            </w:r>
            <w:r>
              <w:rPr>
                <w:rFonts w:hint="eastAsia"/>
                <w:lang w:val="en-US" w:eastAsia="zh-CN"/>
              </w:rPr>
              <w:t>4</w:t>
            </w:r>
            <w:r>
              <w:rPr>
                <w:rFonts w:hint="eastAsia"/>
              </w:rPr>
              <w:t>.</w:t>
            </w:r>
            <w:r>
              <w:rPr>
                <w:rFonts w:hint="eastAsia"/>
                <w:lang w:val="en-US" w:eastAsia="zh-CN"/>
              </w:rPr>
              <w:t>1</w:t>
            </w:r>
            <w:r>
              <w:rPr>
                <w:rFonts w:hint="eastAsia"/>
              </w:rPr>
              <w:t>5                       时间：2021.</w:t>
            </w:r>
            <w:r>
              <w:rPr>
                <w:rFonts w:hint="eastAsia"/>
                <w:lang w:val="en-US" w:eastAsia="zh-CN"/>
              </w:rPr>
              <w:t>4</w:t>
            </w:r>
            <w:r>
              <w:rPr>
                <w:rFonts w:hint="eastAsia"/>
              </w:rPr>
              <w:t>.</w:t>
            </w:r>
            <w:r>
              <w:rPr>
                <w:rFonts w:hint="eastAsia"/>
                <w:lang w:val="en-US" w:eastAsia="zh-CN"/>
              </w:rPr>
              <w:t>1</w:t>
            </w:r>
            <w:r>
              <w:rPr>
                <w:rFonts w:hint="eastAsia"/>
              </w:rPr>
              <w:t xml:space="preserve">5 </w:t>
            </w:r>
          </w:p>
          <w:p>
            <w:pPr>
              <w:spacing w:line="360" w:lineRule="auto"/>
              <w:jc w:val="both"/>
              <w:rPr>
                <w:rFonts w:hint="default" w:eastAsia="宋体"/>
                <w:lang w:val="en-US" w:eastAsia="zh-CN"/>
              </w:rPr>
            </w:pPr>
            <w:r>
              <w:rPr>
                <w:rFonts w:hint="eastAsia"/>
                <w:lang w:eastAsia="zh-CN"/>
              </w:rPr>
              <w:t>——</w:t>
            </w:r>
            <w:r>
              <w:rPr>
                <w:rFonts w:hint="eastAsia"/>
                <w:lang w:val="en-US" w:eastAsia="zh-CN"/>
              </w:rPr>
              <w:t>现场环境</w:t>
            </w:r>
          </w:p>
          <w:p>
            <w:pPr>
              <w:spacing w:line="360" w:lineRule="auto"/>
              <w:ind w:firstLine="420" w:firstLineChars="200"/>
              <w:jc w:val="both"/>
              <w:rPr>
                <w:rFonts w:hint="default"/>
                <w:lang w:val="en-US" w:eastAsia="zh-CN"/>
              </w:rPr>
            </w:pPr>
            <w:r>
              <w:rPr>
                <w:rFonts w:hint="eastAsia"/>
              </w:rPr>
              <w:t>策划并制定了《</w:t>
            </w:r>
            <w:r>
              <w:rPr>
                <w:rFonts w:hint="eastAsia"/>
                <w:lang w:eastAsia="zh-CN"/>
              </w:rPr>
              <w:t>行政管理制度</w:t>
            </w:r>
            <w:r>
              <w:rPr>
                <w:rFonts w:hint="eastAsia"/>
              </w:rPr>
              <w:t>》，</w:t>
            </w:r>
            <w:r>
              <w:rPr>
                <w:rFonts w:hint="eastAsia"/>
                <w:lang w:val="en-US" w:eastAsia="zh-CN"/>
              </w:rPr>
              <w:t>远程视频</w:t>
            </w:r>
            <w:r>
              <w:rPr>
                <w:rFonts w:hint="eastAsia"/>
              </w:rPr>
              <w:t>观察现场办公区域环境卫生管理，工作场所布局合理，照明良好，满足办公需求。</w:t>
            </w:r>
            <w:r>
              <w:rPr>
                <w:rFonts w:hint="eastAsia"/>
                <w:lang w:val="en-US" w:eastAsia="zh-CN"/>
              </w:rPr>
              <w:t>物业用房、配电室、水泵房、中控室里规章制度、操作规程上墙；月度内作业记录装订成册悬挂墙上，历史作业记录装入文件夹整齐入柜。夜班现场照明充足。</w:t>
            </w:r>
          </w:p>
          <w:p>
            <w:pPr>
              <w:spacing w:line="360" w:lineRule="auto"/>
              <w:ind w:firstLine="420" w:firstLineChars="200"/>
              <w:jc w:val="both"/>
              <w:rPr>
                <w:rFonts w:hint="eastAsia"/>
                <w:lang w:val="en-US" w:eastAsia="zh-CN"/>
              </w:rPr>
            </w:pPr>
            <w:r>
              <w:rPr>
                <w:rFonts w:hint="eastAsia"/>
                <w:lang w:val="en-US" w:eastAsia="zh-CN"/>
              </w:rPr>
              <w:t>配电室、水泵房张贴有安全警告标识；物业用房配备有小型消防站，小区楼道均</w:t>
            </w:r>
            <w:r>
              <w:rPr>
                <w:rFonts w:hint="eastAsia"/>
              </w:rPr>
              <w:t>有灭火器，放置在规定的地方，</w:t>
            </w:r>
            <w:r>
              <w:rPr>
                <w:rFonts w:hint="eastAsia"/>
                <w:lang w:val="en-US" w:eastAsia="zh-CN"/>
              </w:rPr>
              <w:t>紧急指示灯完好，消防栓、烟感器、喷淋器及手动报警器外观良好（未进行现场试验）。</w:t>
            </w:r>
          </w:p>
          <w:p>
            <w:pPr>
              <w:pStyle w:val="2"/>
              <w:rPr>
                <w:rFonts w:hint="default"/>
                <w:lang w:val="en-US" w:eastAsia="zh-CN"/>
              </w:rPr>
            </w:pPr>
            <w:r>
              <w:rPr>
                <w:rFonts w:hint="eastAsia" w:ascii="Arial" w:hAnsi="Arial" w:eastAsia="楷体_GB2312" w:cs="Times New Roman"/>
                <w:spacing w:val="20"/>
                <w:kern w:val="2"/>
                <w:sz w:val="24"/>
                <w:lang w:val="en-US" w:eastAsia="zh-CN" w:bidi="ar-SA"/>
              </w:rPr>
              <w:t>——</w:t>
            </w:r>
            <w:r>
              <w:rPr>
                <w:rFonts w:hint="eastAsia" w:ascii="宋体" w:hAnsi="宋体" w:eastAsia="宋体" w:cs="宋体"/>
                <w:b w:val="0"/>
                <w:bCs/>
                <w:sz w:val="21"/>
                <w:szCs w:val="21"/>
              </w:rPr>
              <w:t>基础设施</w:t>
            </w:r>
            <w:r>
              <w:rPr>
                <w:rFonts w:hint="eastAsia" w:ascii="宋体" w:hAnsi="宋体" w:eastAsia="宋体" w:cs="宋体"/>
                <w:b w:val="0"/>
                <w:bCs/>
                <w:sz w:val="21"/>
                <w:szCs w:val="21"/>
                <w:lang w:eastAsia="zh-CN"/>
              </w:rPr>
              <w:t>；</w:t>
            </w:r>
            <w:r>
              <w:rPr>
                <w:rFonts w:hint="eastAsia" w:ascii="宋体" w:hAnsi="宋体" w:eastAsia="宋体" w:cs="宋体"/>
                <w:b w:val="0"/>
                <w:bCs/>
                <w:sz w:val="21"/>
                <w:szCs w:val="21"/>
              </w:rPr>
              <w:t>工作环境</w:t>
            </w:r>
            <w:r>
              <w:rPr>
                <w:rFonts w:hint="eastAsia" w:ascii="Times New Roman" w:hAnsi="Times New Roman" w:eastAsia="宋体" w:cs="Times New Roman"/>
                <w:spacing w:val="0"/>
                <w:kern w:val="2"/>
                <w:sz w:val="21"/>
                <w:lang w:val="en-US" w:eastAsia="zh-CN" w:bidi="ar-SA"/>
              </w:rPr>
              <w:t>基本符合。</w:t>
            </w:r>
          </w:p>
        </w:tc>
        <w:tc>
          <w:tcPr>
            <w:tcW w:w="1585" w:type="dxa"/>
          </w:tcPr>
          <w:p>
            <w:pPr>
              <w:spacing w:line="36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sz w:val="21"/>
                <w:szCs w:val="21"/>
              </w:rPr>
            </w:pPr>
            <w:r>
              <w:rPr>
                <w:rFonts w:hint="eastAsia" w:asciiTheme="minorEastAsia" w:hAnsiTheme="minorEastAsia" w:eastAsiaTheme="minorEastAsia" w:cstheme="minorEastAsia"/>
                <w:sz w:val="21"/>
                <w:szCs w:val="21"/>
                <w:lang w:val="en-US" w:eastAsia="zh-CN"/>
              </w:rPr>
              <w:t>物业服务过程</w:t>
            </w:r>
          </w:p>
        </w:tc>
        <w:tc>
          <w:tcPr>
            <w:tcW w:w="960" w:type="dxa"/>
          </w:tcPr>
          <w:p>
            <w:pPr>
              <w:spacing w:line="360" w:lineRule="auto"/>
              <w:rPr>
                <w:rFonts w:hint="default"/>
                <w:sz w:val="21"/>
                <w:szCs w:val="21"/>
                <w:lang w:val="en-US"/>
              </w:rPr>
            </w:pPr>
            <w:r>
              <w:rPr>
                <w:rFonts w:hint="eastAsia" w:asciiTheme="minorEastAsia" w:hAnsiTheme="minorEastAsia" w:eastAsiaTheme="minorEastAsia" w:cstheme="minorEastAsia"/>
                <w:sz w:val="21"/>
                <w:szCs w:val="21"/>
                <w:lang w:val="en-US" w:eastAsia="zh-CN"/>
              </w:rPr>
              <w:t>Q8.5.1-8.5.4</w:t>
            </w:r>
          </w:p>
        </w:tc>
        <w:tc>
          <w:tcPr>
            <w:tcW w:w="10004" w:type="dxa"/>
          </w:tcPr>
          <w:p>
            <w:pPr>
              <w:pStyle w:val="13"/>
              <w:spacing w:line="360" w:lineRule="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1、核查出示有，</w:t>
            </w:r>
            <w:r>
              <w:rPr>
                <w:rFonts w:hint="eastAsia"/>
                <w:color w:val="000000"/>
                <w:sz w:val="21"/>
                <w:szCs w:val="21"/>
                <w:u w:val="none"/>
                <w:lang w:val="en-US" w:eastAsia="zh-CN"/>
              </w:rPr>
              <w:t>金陶丽都小区</w:t>
            </w:r>
            <w:r>
              <w:rPr>
                <w:rFonts w:hint="eastAsia" w:asciiTheme="minorEastAsia" w:hAnsiTheme="minorEastAsia" w:eastAsiaTheme="minorEastAsia" w:cstheme="minorEastAsia"/>
                <w:kern w:val="2"/>
                <w:sz w:val="21"/>
                <w:szCs w:val="21"/>
                <w:lang w:val="en-US" w:eastAsia="zh-CN" w:bidi="ar-SA"/>
              </w:rPr>
              <w:t>的物业管理服务合同；合同里有以附件形式约定的“物业管理服务质量标准”；对管理及服务的设施设备管理、公共环境管理、公共秩序管理的范围和预期结果做出了规定。</w:t>
            </w:r>
          </w:p>
          <w:p>
            <w:pPr>
              <w:pStyle w:val="13"/>
              <w:spacing w:line="360" w:lineRule="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核查出示有“基础设施和工作环境控制程序”、“服务提供过程控制程序”、“服务质量监视和测量控制程序”、“住宅小区物业管理公共设施维护管理制度”、“环境管理制度”、“节电管理制度”、“清洁服务标准”、“安全消防制度”，“化学品安全使用管理规定”等共18份执行的程序和管理规定。</w:t>
            </w:r>
          </w:p>
          <w:p>
            <w:pPr>
              <w:pStyle w:val="13"/>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kern w:val="2"/>
                <w:sz w:val="21"/>
                <w:szCs w:val="21"/>
                <w:lang w:val="en-US" w:eastAsia="zh-CN" w:bidi="ar-SA"/>
              </w:rPr>
              <w:t>3、</w:t>
            </w:r>
            <w:r>
              <w:rPr>
                <w:rFonts w:hint="eastAsia" w:asciiTheme="minorEastAsia" w:hAnsiTheme="minorEastAsia" w:eastAsiaTheme="minorEastAsia" w:cstheme="minorEastAsia"/>
                <w:sz w:val="21"/>
                <w:szCs w:val="21"/>
                <w:lang w:val="en-US" w:eastAsia="zh-CN"/>
              </w:rPr>
              <w:t>远程视频查看项目服务点配备有物业工作室、门岗岗亭、消防中控室、水泵房，扫地机、洒水车、喷壶、全套劳保等设施设备；项目点物业工作员工均接受过质量、环保、安全方面的培训。</w:t>
            </w:r>
          </w:p>
          <w:p>
            <w:pPr>
              <w:pStyle w:val="13"/>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4、查验其提供的电梯服务外包合同、电梯定期检定报</w:t>
            </w:r>
            <w:r>
              <w:rPr>
                <w:rFonts w:hint="eastAsia" w:asciiTheme="minorEastAsia" w:hAnsiTheme="minorEastAsia" w:eastAsiaTheme="minorEastAsia" w:cstheme="minorEastAsia"/>
                <w:sz w:val="21"/>
                <w:szCs w:val="21"/>
                <w:highlight w:val="none"/>
                <w:lang w:val="en-US" w:eastAsia="zh-CN"/>
              </w:rPr>
              <w:t>告、水质检测报告等均在</w:t>
            </w:r>
            <w:r>
              <w:rPr>
                <w:rFonts w:hint="eastAsia" w:asciiTheme="minorEastAsia" w:hAnsiTheme="minorEastAsia" w:eastAsiaTheme="minorEastAsia" w:cstheme="minorEastAsia"/>
                <w:sz w:val="21"/>
                <w:szCs w:val="21"/>
                <w:lang w:val="en-US" w:eastAsia="zh-CN"/>
              </w:rPr>
              <w:t>有效期内；提供有电工证、有限空间作业证等有效的人员资质证明；提供有“公共设施维修保养计划表”、“报修、维修记录”、“保洁记录”、“绿化消杀记录”、“巡逻记录”、“工作日志”等全套物业管理服务作业记录。</w:t>
            </w:r>
          </w:p>
          <w:p>
            <w:pPr>
              <w:pStyle w:val="13"/>
              <w:spacing w:line="360" w:lineRule="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——查公共设施设备维保证据：</w:t>
            </w:r>
          </w:p>
          <w:p>
            <w:pPr>
              <w:pStyle w:val="13"/>
              <w:spacing w:line="360" w:lineRule="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——抽配电柜巡检记录。</w:t>
            </w:r>
          </w:p>
          <w:p>
            <w:pPr>
              <w:pStyle w:val="13"/>
              <w:spacing w:line="360" w:lineRule="auto"/>
              <w:rPr>
                <w:rFonts w:hint="eastAsia" w:asciiTheme="minorEastAsia" w:hAnsiTheme="minorEastAsia" w:eastAsiaTheme="minorEastAsia" w:cstheme="minorEastAsia"/>
                <w:sz w:val="21"/>
                <w:szCs w:val="21"/>
                <w:lang w:val="en-US" w:eastAsia="zh-CN"/>
              </w:rPr>
            </w:pPr>
            <w:r>
              <w:drawing>
                <wp:inline distT="0" distB="0" distL="114300" distR="114300">
                  <wp:extent cx="6211570" cy="4212590"/>
                  <wp:effectExtent l="0" t="0" r="6350" b="889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6211570" cy="4212590"/>
                          </a:xfrm>
                          <a:prstGeom prst="rect">
                            <a:avLst/>
                          </a:prstGeom>
                          <a:noFill/>
                          <a:ln>
                            <a:noFill/>
                          </a:ln>
                        </pic:spPr>
                      </pic:pic>
                    </a:graphicData>
                  </a:graphic>
                </wp:inline>
              </w:drawing>
            </w:r>
          </w:p>
          <w:p>
            <w:pPr>
              <w:pStyle w:val="13"/>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——抽水泵房巡检记录</w:t>
            </w:r>
          </w:p>
          <w:p>
            <w:pPr>
              <w:pStyle w:val="13"/>
              <w:spacing w:line="360" w:lineRule="auto"/>
              <w:rPr>
                <w:rFonts w:hint="default" w:asciiTheme="minorEastAsia" w:hAnsiTheme="minorEastAsia" w:eastAsiaTheme="minorEastAsia" w:cstheme="minorEastAsia"/>
                <w:sz w:val="21"/>
                <w:szCs w:val="21"/>
                <w:lang w:val="en-US" w:eastAsia="zh-CN"/>
              </w:rPr>
            </w:pPr>
            <w:r>
              <w:drawing>
                <wp:inline distT="0" distB="0" distL="114300" distR="114300">
                  <wp:extent cx="6215380" cy="4312285"/>
                  <wp:effectExtent l="0" t="0" r="2540" b="6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9"/>
                          <a:stretch>
                            <a:fillRect/>
                          </a:stretch>
                        </pic:blipFill>
                        <pic:spPr>
                          <a:xfrm>
                            <a:off x="0" y="0"/>
                            <a:ext cx="6215380" cy="4312285"/>
                          </a:xfrm>
                          <a:prstGeom prst="rect">
                            <a:avLst/>
                          </a:prstGeom>
                          <a:noFill/>
                          <a:ln>
                            <a:noFill/>
                          </a:ln>
                        </pic:spPr>
                      </pic:pic>
                    </a:graphicData>
                  </a:graphic>
                </wp:inline>
              </w:drawing>
            </w:r>
          </w:p>
          <w:p>
            <w:pPr>
              <w:pStyle w:val="13"/>
              <w:spacing w:line="360" w:lineRule="auto"/>
              <w:rPr>
                <w:rFonts w:hint="eastAsia" w:asciiTheme="minorEastAsia" w:hAnsiTheme="minorEastAsia" w:eastAsiaTheme="minorEastAsia" w:cstheme="minorEastAsia"/>
                <w:sz w:val="21"/>
                <w:szCs w:val="21"/>
                <w:lang w:val="en-US" w:eastAsia="zh-CN"/>
              </w:rPr>
            </w:pPr>
          </w:p>
          <w:p>
            <w:pPr>
              <w:pStyle w:val="13"/>
              <w:spacing w:line="360" w:lineRule="auto"/>
              <w:rPr>
                <w:rFonts w:hint="eastAsia" w:asciiTheme="minorEastAsia" w:hAnsiTheme="minorEastAsia" w:eastAsiaTheme="minorEastAsia" w:cstheme="minorEastAsia"/>
                <w:sz w:val="21"/>
                <w:szCs w:val="21"/>
                <w:lang w:val="en-US" w:eastAsia="zh-CN"/>
              </w:rPr>
            </w:pPr>
          </w:p>
          <w:p>
            <w:pPr>
              <w:pStyle w:val="13"/>
              <w:spacing w:line="360" w:lineRule="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——抽电梯维修记录，9-10月</w:t>
            </w:r>
          </w:p>
          <w:p>
            <w:pPr>
              <w:pStyle w:val="13"/>
              <w:spacing w:line="360" w:lineRule="auto"/>
              <w:rPr>
                <w:rFonts w:hint="eastAsia" w:asciiTheme="minorEastAsia" w:hAnsiTheme="minorEastAsia" w:eastAsiaTheme="minorEastAsia" w:cstheme="minorEastAsia"/>
                <w:sz w:val="21"/>
                <w:szCs w:val="21"/>
                <w:lang w:val="en-US" w:eastAsia="zh-CN"/>
              </w:rPr>
            </w:pPr>
            <w:r>
              <w:drawing>
                <wp:inline distT="0" distB="0" distL="114300" distR="114300">
                  <wp:extent cx="5847080" cy="3984625"/>
                  <wp:effectExtent l="0" t="0" r="508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847080" cy="3984625"/>
                          </a:xfrm>
                          <a:prstGeom prst="rect">
                            <a:avLst/>
                          </a:prstGeom>
                          <a:noFill/>
                          <a:ln>
                            <a:noFill/>
                          </a:ln>
                        </pic:spPr>
                      </pic:pic>
                    </a:graphicData>
                  </a:graphic>
                </wp:inline>
              </w:drawing>
            </w:r>
          </w:p>
          <w:p>
            <w:pPr>
              <w:pStyle w:val="13"/>
              <w:spacing w:line="360" w:lineRule="auto"/>
              <w:rPr>
                <w:rFonts w:hint="eastAsia" w:asciiTheme="minorEastAsia" w:hAnsiTheme="minorEastAsia" w:eastAsiaTheme="minorEastAsia" w:cstheme="minorEastAsia"/>
                <w:sz w:val="21"/>
                <w:szCs w:val="21"/>
                <w:lang w:val="en-US" w:eastAsia="zh-CN"/>
              </w:rPr>
            </w:pPr>
          </w:p>
          <w:p>
            <w:pPr>
              <w:pStyle w:val="13"/>
              <w:spacing w:line="360" w:lineRule="auto"/>
              <w:rPr>
                <w:rFonts w:hint="eastAsia" w:asciiTheme="minorEastAsia" w:hAnsiTheme="minorEastAsia" w:eastAsiaTheme="minorEastAsia" w:cstheme="minorEastAsia"/>
                <w:sz w:val="21"/>
                <w:szCs w:val="21"/>
                <w:lang w:val="en-US" w:eastAsia="zh-CN"/>
              </w:rPr>
            </w:pPr>
          </w:p>
          <w:p>
            <w:pPr>
              <w:pStyle w:val="13"/>
              <w:spacing w:line="360" w:lineRule="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——抽10.21.中控室交接班记录；对监控设备、消防设备的当日情况做出了记录，权限人签字、日期齐全。</w:t>
            </w:r>
          </w:p>
          <w:p>
            <w:pPr>
              <w:pStyle w:val="13"/>
              <w:spacing w:line="360" w:lineRule="auto"/>
            </w:pPr>
            <w:r>
              <w:drawing>
                <wp:inline distT="0" distB="0" distL="114300" distR="114300">
                  <wp:extent cx="3566160" cy="4156075"/>
                  <wp:effectExtent l="0" t="0" r="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566160" cy="4156075"/>
                          </a:xfrm>
                          <a:prstGeom prst="rect">
                            <a:avLst/>
                          </a:prstGeom>
                          <a:noFill/>
                          <a:ln>
                            <a:noFill/>
                          </a:ln>
                        </pic:spPr>
                      </pic:pic>
                    </a:graphicData>
                  </a:graphic>
                </wp:inline>
              </w:drawing>
            </w:r>
          </w:p>
          <w:p>
            <w:pPr>
              <w:pStyle w:val="13"/>
              <w:spacing w:line="360" w:lineRule="auto"/>
              <w:ind w:firstLine="420" w:firstLineChars="200"/>
              <w:rPr>
                <w:rFonts w:hint="eastAsia"/>
                <w:lang w:val="en-US" w:eastAsia="zh-CN"/>
              </w:rPr>
            </w:pPr>
            <w:r>
              <w:rPr>
                <w:rFonts w:hint="eastAsia"/>
                <w:lang w:val="en-US" w:eastAsia="zh-CN"/>
              </w:rPr>
              <w:t>另抽9.8.；8.7.；中控室交接班记录，内容均按规定记录并保持。</w:t>
            </w:r>
          </w:p>
          <w:p>
            <w:pPr>
              <w:pStyle w:val="13"/>
              <w:spacing w:line="360" w:lineRule="auto"/>
              <w:ind w:firstLine="420" w:firstLineChars="200"/>
              <w:rPr>
                <w:rFonts w:hint="eastAsia"/>
                <w:lang w:val="en-US" w:eastAsia="zh-CN"/>
              </w:rPr>
            </w:pPr>
          </w:p>
          <w:p>
            <w:pPr>
              <w:pStyle w:val="13"/>
              <w:spacing w:line="360" w:lineRule="auto"/>
              <w:rPr>
                <w:rFonts w:hint="default"/>
                <w:lang w:val="en-US" w:eastAsia="zh-CN"/>
              </w:rPr>
            </w:pPr>
            <w:r>
              <w:rPr>
                <w:rFonts w:hint="eastAsia"/>
                <w:lang w:val="en-US" w:eastAsia="zh-CN"/>
              </w:rPr>
              <w:t>——查公共环境维护证据：</w:t>
            </w:r>
          </w:p>
          <w:p>
            <w:pPr>
              <w:pStyle w:val="13"/>
              <w:spacing w:line="360" w:lineRule="auto"/>
              <w:rPr>
                <w:rFonts w:hint="eastAsia"/>
                <w:lang w:val="en-US" w:eastAsia="zh-CN"/>
              </w:rPr>
            </w:pPr>
            <w:r>
              <w:rPr>
                <w:rFonts w:hint="eastAsia"/>
                <w:lang w:val="en-US" w:eastAsia="zh-CN"/>
              </w:rPr>
              <w:t>——抽保洁服务记录；内容包括任务名称、任务时间、执行人、巡视人及巡视时间。</w:t>
            </w:r>
          </w:p>
          <w:p>
            <w:pPr>
              <w:pStyle w:val="13"/>
              <w:spacing w:line="360" w:lineRule="auto"/>
              <w:rPr>
                <w:rFonts w:hint="eastAsia"/>
                <w:lang w:val="en-US" w:eastAsia="zh-CN"/>
              </w:rPr>
            </w:pPr>
            <w:r>
              <w:drawing>
                <wp:inline distT="0" distB="0" distL="114300" distR="114300">
                  <wp:extent cx="4701540" cy="4373880"/>
                  <wp:effectExtent l="0" t="0" r="762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4701540" cy="4373880"/>
                          </a:xfrm>
                          <a:prstGeom prst="rect">
                            <a:avLst/>
                          </a:prstGeom>
                          <a:noFill/>
                          <a:ln>
                            <a:noFill/>
                          </a:ln>
                        </pic:spPr>
                      </pic:pic>
                    </a:graphicData>
                  </a:graphic>
                </wp:inline>
              </w:drawing>
            </w:r>
          </w:p>
          <w:p>
            <w:pPr>
              <w:pStyle w:val="13"/>
              <w:spacing w:line="360" w:lineRule="auto"/>
              <w:rPr>
                <w:rFonts w:hint="eastAsia"/>
                <w:lang w:val="en-US" w:eastAsia="zh-CN"/>
              </w:rPr>
            </w:pPr>
          </w:p>
          <w:p>
            <w:pPr>
              <w:pStyle w:val="13"/>
              <w:spacing w:line="360" w:lineRule="auto"/>
              <w:rPr>
                <w:rFonts w:hint="eastAsia"/>
                <w:lang w:val="en-US" w:eastAsia="zh-CN"/>
              </w:rPr>
            </w:pPr>
            <w:r>
              <w:rPr>
                <w:rFonts w:hint="eastAsia"/>
                <w:lang w:val="en-US" w:eastAsia="zh-CN"/>
              </w:rPr>
              <w:t>——抽绿化消杀记录；内容包含，时间、喷药地点、病虫害种类、用药品种、浓度、操作者及备注。</w:t>
            </w:r>
          </w:p>
          <w:p>
            <w:pPr>
              <w:pStyle w:val="13"/>
              <w:spacing w:line="360" w:lineRule="auto"/>
            </w:pPr>
            <w:r>
              <w:drawing>
                <wp:inline distT="0" distB="0" distL="114300" distR="114300">
                  <wp:extent cx="4709160" cy="1967865"/>
                  <wp:effectExtent l="0" t="0" r="0" b="1333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4709160" cy="1967865"/>
                          </a:xfrm>
                          <a:prstGeom prst="rect">
                            <a:avLst/>
                          </a:prstGeom>
                          <a:noFill/>
                          <a:ln>
                            <a:noFill/>
                          </a:ln>
                        </pic:spPr>
                      </pic:pic>
                    </a:graphicData>
                  </a:graphic>
                </wp:inline>
              </w:drawing>
            </w:r>
          </w:p>
          <w:p>
            <w:pPr>
              <w:pStyle w:val="13"/>
              <w:spacing w:line="360" w:lineRule="auto"/>
            </w:pPr>
          </w:p>
          <w:p>
            <w:pPr>
              <w:pStyle w:val="13"/>
              <w:spacing w:line="360" w:lineRule="auto"/>
            </w:pPr>
          </w:p>
          <w:p>
            <w:pPr>
              <w:pStyle w:val="13"/>
              <w:spacing w:line="360" w:lineRule="auto"/>
            </w:pPr>
          </w:p>
          <w:p>
            <w:pPr>
              <w:pStyle w:val="13"/>
              <w:spacing w:line="360" w:lineRule="auto"/>
            </w:pPr>
          </w:p>
          <w:p>
            <w:pPr>
              <w:pStyle w:val="13"/>
              <w:spacing w:line="360" w:lineRule="auto"/>
            </w:pPr>
          </w:p>
          <w:p>
            <w:pPr>
              <w:pStyle w:val="13"/>
              <w:spacing w:line="360" w:lineRule="auto"/>
            </w:pPr>
          </w:p>
          <w:p>
            <w:pPr>
              <w:pStyle w:val="13"/>
              <w:spacing w:line="360" w:lineRule="auto"/>
            </w:pPr>
          </w:p>
          <w:p>
            <w:pPr>
              <w:pStyle w:val="13"/>
              <w:spacing w:line="360" w:lineRule="auto"/>
            </w:pPr>
          </w:p>
          <w:p>
            <w:pPr>
              <w:pStyle w:val="13"/>
              <w:spacing w:line="360" w:lineRule="auto"/>
            </w:pPr>
          </w:p>
          <w:p>
            <w:pPr>
              <w:pStyle w:val="13"/>
              <w:spacing w:line="360" w:lineRule="auto"/>
              <w:rPr>
                <w:rFonts w:hint="default" w:eastAsia="宋体"/>
                <w:lang w:val="en-US" w:eastAsia="zh-CN"/>
              </w:rPr>
            </w:pPr>
            <w:r>
              <w:rPr>
                <w:rFonts w:hint="eastAsia"/>
                <w:lang w:eastAsia="zh-CN"/>
              </w:rPr>
              <w:t>——</w:t>
            </w:r>
            <w:r>
              <w:rPr>
                <w:rFonts w:hint="eastAsia"/>
                <w:lang w:val="en-US" w:eastAsia="zh-CN"/>
              </w:rPr>
              <w:t>查公共秩序维护证据：</w:t>
            </w:r>
          </w:p>
          <w:p>
            <w:pPr>
              <w:pStyle w:val="13"/>
              <w:spacing w:line="360" w:lineRule="auto"/>
              <w:rPr>
                <w:rFonts w:hint="eastAsia"/>
                <w:lang w:val="en-US" w:eastAsia="zh-CN"/>
              </w:rPr>
            </w:pPr>
            <w:r>
              <w:rPr>
                <w:rFonts w:hint="eastAsia"/>
                <w:lang w:eastAsia="zh-CN"/>
              </w:rPr>
              <w:t>——</w:t>
            </w:r>
            <w:r>
              <w:rPr>
                <w:rFonts w:hint="eastAsia"/>
                <w:lang w:val="en-US" w:eastAsia="zh-CN"/>
              </w:rPr>
              <w:t>抽门岗交接记录；2021.8.14.（早8点——晚7点）；内容包括：物品交接；小区内巡查内容（包括车辆停放、消防检查和卫生检查）</w:t>
            </w:r>
          </w:p>
          <w:p>
            <w:pPr>
              <w:pStyle w:val="13"/>
              <w:spacing w:line="360" w:lineRule="auto"/>
            </w:pPr>
            <w:r>
              <w:drawing>
                <wp:inline distT="0" distB="0" distL="114300" distR="114300">
                  <wp:extent cx="4161790" cy="3418205"/>
                  <wp:effectExtent l="0" t="0" r="13970"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4161790" cy="3418205"/>
                          </a:xfrm>
                          <a:prstGeom prst="rect">
                            <a:avLst/>
                          </a:prstGeom>
                          <a:noFill/>
                          <a:ln>
                            <a:noFill/>
                          </a:ln>
                        </pic:spPr>
                      </pic:pic>
                    </a:graphicData>
                  </a:graphic>
                </wp:inline>
              </w:drawing>
            </w:r>
          </w:p>
          <w:p>
            <w:pPr>
              <w:pStyle w:val="13"/>
              <w:spacing w:line="360" w:lineRule="auto"/>
              <w:ind w:firstLine="420" w:firstLineChars="200"/>
              <w:rPr>
                <w:rFonts w:hint="eastAsia"/>
                <w:lang w:val="en-US" w:eastAsia="zh-CN"/>
              </w:rPr>
            </w:pPr>
            <w:r>
              <w:rPr>
                <w:rFonts w:hint="eastAsia"/>
                <w:lang w:val="en-US" w:eastAsia="zh-CN"/>
              </w:rPr>
              <w:t>另抽21.10.7.的门岗交接记录，内容均按规定登录。</w:t>
            </w:r>
          </w:p>
          <w:p>
            <w:pPr>
              <w:pStyle w:val="13"/>
              <w:spacing w:line="360" w:lineRule="auto"/>
              <w:rPr>
                <w:rFonts w:hint="default"/>
                <w:lang w:val="en-US" w:eastAsia="zh-CN"/>
              </w:rPr>
            </w:pPr>
          </w:p>
          <w:p>
            <w:pPr>
              <w:pStyle w:val="13"/>
              <w:spacing w:line="360" w:lineRule="auto"/>
              <w:rPr>
                <w:rFonts w:hint="default" w:eastAsia="宋体"/>
                <w:lang w:val="en-US" w:eastAsia="zh-CN"/>
              </w:rPr>
            </w:pPr>
            <w:r>
              <w:rPr>
                <w:rFonts w:hint="eastAsia"/>
                <w:lang w:eastAsia="zh-CN"/>
              </w:rPr>
              <w:t>——</w:t>
            </w:r>
            <w:r>
              <w:rPr>
                <w:rFonts w:hint="eastAsia"/>
                <w:lang w:val="en-US" w:eastAsia="zh-CN"/>
              </w:rPr>
              <w:t>抽巡逻记录，21.10.8.；内容包括，设备设施、环境卫生、公共秩序的检查，权限人签字日期齐全。</w:t>
            </w:r>
          </w:p>
          <w:p>
            <w:pPr>
              <w:pStyle w:val="13"/>
              <w:spacing w:line="360" w:lineRule="auto"/>
            </w:pPr>
            <w:r>
              <w:drawing>
                <wp:inline distT="0" distB="0" distL="114300" distR="114300">
                  <wp:extent cx="4770755" cy="4467860"/>
                  <wp:effectExtent l="0" t="0" r="14605" b="1270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4770755" cy="4467860"/>
                          </a:xfrm>
                          <a:prstGeom prst="rect">
                            <a:avLst/>
                          </a:prstGeom>
                          <a:noFill/>
                          <a:ln>
                            <a:noFill/>
                          </a:ln>
                        </pic:spPr>
                      </pic:pic>
                    </a:graphicData>
                  </a:graphic>
                </wp:inline>
              </w:drawing>
            </w:r>
          </w:p>
          <w:p>
            <w:pPr>
              <w:pStyle w:val="13"/>
              <w:spacing w:line="360" w:lineRule="auto"/>
              <w:ind w:firstLine="420" w:firstLineChars="200"/>
              <w:rPr>
                <w:rFonts w:hint="default"/>
                <w:lang w:val="en-US" w:eastAsia="zh-CN"/>
              </w:rPr>
            </w:pPr>
            <w:r>
              <w:rPr>
                <w:rFonts w:hint="eastAsia"/>
                <w:lang w:val="en-US" w:eastAsia="zh-CN"/>
              </w:rPr>
              <w:t>另抽21.9.13.和21.8.7.的巡逻记录，内容均按规定填写。</w:t>
            </w:r>
          </w:p>
          <w:p>
            <w:pPr>
              <w:pStyle w:val="13"/>
              <w:spacing w:line="360" w:lineRule="auto"/>
              <w:rPr>
                <w:rFonts w:hint="default" w:eastAsia="宋体"/>
                <w:lang w:val="en-US" w:eastAsia="zh-CN"/>
              </w:rPr>
            </w:pPr>
            <w:r>
              <w:rPr>
                <w:rFonts w:hint="eastAsia"/>
                <w:lang w:val="en-US" w:eastAsia="zh-CN"/>
              </w:rPr>
              <w:t>——抽车辆登记记录；包括访客时间、姓名、车牌、电话、事由等；</w:t>
            </w:r>
          </w:p>
          <w:p>
            <w:pPr>
              <w:pStyle w:val="13"/>
              <w:spacing w:line="360" w:lineRule="auto"/>
              <w:rPr>
                <w:rFonts w:hint="eastAsia"/>
                <w:lang w:val="en-US" w:eastAsia="zh-CN"/>
              </w:rPr>
            </w:pPr>
            <w:r>
              <w:drawing>
                <wp:inline distT="0" distB="0" distL="114300" distR="114300">
                  <wp:extent cx="5783580" cy="4213860"/>
                  <wp:effectExtent l="0" t="0" r="7620"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a:stretch>
                            <a:fillRect/>
                          </a:stretch>
                        </pic:blipFill>
                        <pic:spPr>
                          <a:xfrm>
                            <a:off x="0" y="0"/>
                            <a:ext cx="5783580" cy="4213860"/>
                          </a:xfrm>
                          <a:prstGeom prst="rect">
                            <a:avLst/>
                          </a:prstGeom>
                          <a:noFill/>
                          <a:ln>
                            <a:noFill/>
                          </a:ln>
                        </pic:spPr>
                      </pic:pic>
                    </a:graphicData>
                  </a:graphic>
                </wp:inline>
              </w:drawing>
            </w:r>
          </w:p>
          <w:p>
            <w:pPr>
              <w:pStyle w:val="13"/>
              <w:spacing w:line="360" w:lineRule="auto"/>
              <w:rPr>
                <w:rFonts w:hint="default"/>
                <w:lang w:val="en-US" w:eastAsia="zh-CN"/>
              </w:rPr>
            </w:pPr>
          </w:p>
          <w:p>
            <w:pPr>
              <w:pStyle w:val="13"/>
              <w:spacing w:line="360" w:lineRule="auto"/>
              <w:rPr>
                <w:rFonts w:hint="default"/>
                <w:lang w:val="en-US" w:eastAsia="zh-CN"/>
              </w:rPr>
            </w:pPr>
          </w:p>
          <w:p>
            <w:pPr>
              <w:pStyle w:val="13"/>
              <w:spacing w:line="360" w:lineRule="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5、提供有“工作日志”，记录里当班管理人员对办公室、设备设施维保、保洁、秩序维护所有物业管理服务版块实施检查及提出放行或整改意见，权限人签章日期齐全；</w:t>
            </w:r>
          </w:p>
          <w:p>
            <w:pPr>
              <w:pStyle w:val="2"/>
              <w:spacing w:line="360" w:lineRule="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kern w:val="2"/>
                <w:sz w:val="21"/>
                <w:szCs w:val="21"/>
                <w:highlight w:val="none"/>
                <w:lang w:val="en-US" w:eastAsia="zh-CN" w:bidi="ar-SA"/>
              </w:rPr>
              <w:t>抽</w:t>
            </w:r>
            <w:r>
              <w:rPr>
                <w:rFonts w:hint="eastAsia" w:asciiTheme="minorEastAsia" w:hAnsiTheme="minorEastAsia" w:eastAsiaTheme="minorEastAsia" w:cstheme="minorEastAsia"/>
                <w:sz w:val="21"/>
                <w:szCs w:val="21"/>
                <w:lang w:val="en-US" w:eastAsia="zh-CN"/>
              </w:rPr>
              <w:t>“工作日志”；2021.11.4.；</w:t>
            </w:r>
          </w:p>
          <w:p>
            <w:pPr>
              <w:pStyle w:val="2"/>
              <w:spacing w:line="360" w:lineRule="auto"/>
            </w:pPr>
            <w:r>
              <w:drawing>
                <wp:inline distT="0" distB="0" distL="114300" distR="114300">
                  <wp:extent cx="3139440" cy="3406140"/>
                  <wp:effectExtent l="0" t="0" r="0"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stretch>
                            <a:fillRect/>
                          </a:stretch>
                        </pic:blipFill>
                        <pic:spPr>
                          <a:xfrm>
                            <a:off x="0" y="0"/>
                            <a:ext cx="3139440" cy="3406140"/>
                          </a:xfrm>
                          <a:prstGeom prst="rect">
                            <a:avLst/>
                          </a:prstGeom>
                          <a:noFill/>
                          <a:ln>
                            <a:noFill/>
                          </a:ln>
                        </pic:spPr>
                      </pic:pic>
                    </a:graphicData>
                  </a:graphic>
                </wp:inline>
              </w:drawing>
            </w:r>
          </w:p>
          <w:p>
            <w:pPr>
              <w:pStyle w:val="2"/>
              <w:spacing w:line="360" w:lineRule="auto"/>
              <w:ind w:firstLine="50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另抽2021.9.8.和2021.10.14.的“工作日志”，内容均按规定记录。</w:t>
            </w:r>
          </w:p>
          <w:p>
            <w:pPr>
              <w:pStyle w:val="2"/>
              <w:spacing w:line="360" w:lineRule="auto"/>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——标识</w:t>
            </w:r>
          </w:p>
          <w:p>
            <w:pPr>
              <w:pStyle w:val="2"/>
              <w:spacing w:line="360" w:lineRule="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项目部以作业表格内容作为标识，可追溯至具体服务项目、执行人、检查人及日期。</w:t>
            </w:r>
          </w:p>
          <w:p>
            <w:pPr>
              <w:pStyle w:val="2"/>
              <w:spacing w:line="360" w:lineRule="auto"/>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——顾客财产</w:t>
            </w:r>
          </w:p>
          <w:p>
            <w:pPr>
              <w:pStyle w:val="2"/>
              <w:spacing w:line="360" w:lineRule="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属于顾客的财产主要是业主的信息，文件装订成册，专人保管。</w:t>
            </w:r>
          </w:p>
          <w:p>
            <w:pPr>
              <w:pStyle w:val="2"/>
              <w:spacing w:line="360" w:lineRule="auto"/>
              <w:rPr>
                <w:rFonts w:hint="default"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——防护</w:t>
            </w:r>
          </w:p>
          <w:p>
            <w:pPr>
              <w:pStyle w:val="2"/>
              <w:spacing w:line="360" w:lineRule="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所有当月作业记录装订成册，用封面进行防护；历史记录用文件夹归类保护；化学品、劳保用品专门库房保存；危险设备设施上均有安全标识。</w:t>
            </w:r>
          </w:p>
          <w:p>
            <w:pPr>
              <w:spacing w:line="360" w:lineRule="auto"/>
              <w:rPr>
                <w:rFonts w:hint="default" w:eastAsia="宋体"/>
                <w:sz w:val="21"/>
                <w:szCs w:val="21"/>
                <w:lang w:val="en-US" w:eastAsia="zh-CN"/>
              </w:rPr>
            </w:pPr>
            <w:r>
              <w:rPr>
                <w:rFonts w:hint="eastAsia"/>
                <w:sz w:val="21"/>
                <w:szCs w:val="21"/>
                <w:lang w:eastAsia="zh-CN"/>
              </w:rPr>
              <w:t>——</w:t>
            </w:r>
            <w:r>
              <w:rPr>
                <w:rFonts w:hint="eastAsia"/>
                <w:sz w:val="21"/>
                <w:szCs w:val="21"/>
                <w:lang w:val="en-US" w:eastAsia="zh-CN"/>
              </w:rPr>
              <w:t>以上证据证实，物业服务过程控制基本符合。</w:t>
            </w:r>
          </w:p>
        </w:tc>
        <w:tc>
          <w:tcPr>
            <w:tcW w:w="1585" w:type="dxa"/>
          </w:tcPr>
          <w:p>
            <w:pPr>
              <w:spacing w:line="360" w:lineRule="auto"/>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line="360" w:lineRule="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val="0"/>
                <w:bCs w:val="0"/>
                <w:sz w:val="24"/>
                <w:szCs w:val="24"/>
                <w:lang w:val="en-US" w:eastAsia="zh-CN"/>
              </w:rPr>
              <w:t>环境</w:t>
            </w:r>
            <w:r>
              <w:rPr>
                <w:rFonts w:hint="eastAsia" w:asciiTheme="minorEastAsia" w:hAnsiTheme="minorEastAsia" w:eastAsiaTheme="minorEastAsia" w:cstheme="minorEastAsia"/>
                <w:b w:val="0"/>
                <w:bCs w:val="0"/>
                <w:sz w:val="24"/>
                <w:szCs w:val="24"/>
                <w:highlight w:val="yellow"/>
                <w:lang w:val="en-US" w:eastAsia="zh-CN"/>
              </w:rPr>
              <w:t>及安全</w:t>
            </w:r>
            <w:r>
              <w:rPr>
                <w:rFonts w:hint="eastAsia" w:asciiTheme="minorEastAsia" w:hAnsiTheme="minorEastAsia" w:eastAsiaTheme="minorEastAsia" w:cstheme="minorEastAsia"/>
                <w:b w:val="0"/>
                <w:bCs w:val="0"/>
                <w:sz w:val="24"/>
                <w:szCs w:val="24"/>
                <w:lang w:val="en-US" w:eastAsia="zh-CN"/>
              </w:rPr>
              <w:t>管理体系</w:t>
            </w:r>
            <w:r>
              <w:rPr>
                <w:rFonts w:hint="eastAsia" w:asciiTheme="minorEastAsia" w:hAnsiTheme="minorEastAsia" w:eastAsiaTheme="minorEastAsia" w:cstheme="minorEastAsia"/>
                <w:b w:val="0"/>
                <w:bCs w:val="0"/>
                <w:sz w:val="24"/>
                <w:szCs w:val="24"/>
              </w:rPr>
              <w:t>运行控制的有效性与应急响应控制</w:t>
            </w:r>
          </w:p>
        </w:tc>
        <w:tc>
          <w:tcPr>
            <w:tcW w:w="960" w:type="dxa"/>
            <w:vAlign w:val="top"/>
          </w:tcPr>
          <w:p>
            <w:pPr>
              <w:spacing w:line="360" w:lineRule="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sz w:val="21"/>
                <w:szCs w:val="21"/>
                <w:lang w:val="en-US" w:eastAsia="zh-CN"/>
              </w:rPr>
              <w:t>EO</w:t>
            </w:r>
            <w:bookmarkStart w:id="3" w:name="_GoBack"/>
            <w:bookmarkEnd w:id="3"/>
            <w:r>
              <w:rPr>
                <w:rFonts w:hint="eastAsia" w:ascii="仿宋" w:hAnsi="仿宋" w:eastAsia="仿宋" w:cs="仿宋"/>
                <w:b w:val="0"/>
                <w:bCs w:val="0"/>
                <w:sz w:val="24"/>
                <w:szCs w:val="24"/>
              </w:rPr>
              <w:t>8.1/8.2</w:t>
            </w:r>
          </w:p>
        </w:tc>
        <w:tc>
          <w:tcPr>
            <w:tcW w:w="10004" w:type="dxa"/>
            <w:vAlign w:val="top"/>
          </w:tcPr>
          <w:p>
            <w:pPr>
              <w:pStyle w:val="2"/>
              <w:spacing w:line="360" w:lineRule="auto"/>
              <w:ind w:firstLine="500" w:firstLineChars="200"/>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核查其制订了《环境运行控制程序》、《职业健康安全运行控制程序》、《应急准备和响应控制程序》。</w:t>
            </w:r>
          </w:p>
          <w:p>
            <w:pPr>
              <w:pStyle w:val="2"/>
              <w:spacing w:line="360" w:lineRule="auto"/>
              <w:ind w:firstLine="500" w:firstLineChars="200"/>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策划了《行政管理制度》，提供有“工作日志”（抽样见8.5/8.6条款），记录里当班管理人员对办公室、设备设施维保、保洁、秩序维护所有物业管理服务版块实施检查及提出放行或整改意见，权限人签章日期齐全。</w:t>
            </w:r>
          </w:p>
          <w:p>
            <w:pPr>
              <w:pStyle w:val="2"/>
              <w:spacing w:line="360" w:lineRule="auto"/>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——查消防备案证据：</w:t>
            </w:r>
          </w:p>
          <w:p>
            <w:pPr>
              <w:pStyle w:val="2"/>
              <w:spacing w:line="360" w:lineRule="auto"/>
              <w:rPr>
                <w:rFonts w:hint="eastAsia" w:asciiTheme="minorEastAsia" w:hAnsiTheme="minorEastAsia" w:eastAsiaTheme="minorEastAsia" w:cstheme="minorEastAsia"/>
                <w:kern w:val="2"/>
                <w:sz w:val="21"/>
                <w:szCs w:val="21"/>
                <w:highlight w:val="none"/>
                <w:lang w:val="en-US" w:eastAsia="zh-CN" w:bidi="ar-SA"/>
              </w:rPr>
            </w:pPr>
            <w:r>
              <w:drawing>
                <wp:inline distT="0" distB="0" distL="114300" distR="114300">
                  <wp:extent cx="4578350" cy="3322320"/>
                  <wp:effectExtent l="0" t="0" r="889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8"/>
                          <a:stretch>
                            <a:fillRect/>
                          </a:stretch>
                        </pic:blipFill>
                        <pic:spPr>
                          <a:xfrm>
                            <a:off x="0" y="0"/>
                            <a:ext cx="4578350" cy="3322320"/>
                          </a:xfrm>
                          <a:prstGeom prst="rect">
                            <a:avLst/>
                          </a:prstGeom>
                          <a:noFill/>
                          <a:ln>
                            <a:noFill/>
                          </a:ln>
                        </pic:spPr>
                      </pic:pic>
                    </a:graphicData>
                  </a:graphic>
                </wp:inline>
              </w:drawing>
            </w:r>
          </w:p>
          <w:p>
            <w:pPr>
              <w:pStyle w:val="2"/>
              <w:spacing w:line="360" w:lineRule="auto"/>
              <w:rPr>
                <w:rFonts w:hint="eastAsia" w:asciiTheme="minorEastAsia" w:hAnsiTheme="minorEastAsia" w:eastAsiaTheme="minorEastAsia" w:cstheme="minorEastAsia"/>
                <w:kern w:val="2"/>
                <w:sz w:val="21"/>
                <w:szCs w:val="21"/>
                <w:highlight w:val="none"/>
                <w:lang w:val="en-US" w:eastAsia="zh-CN" w:bidi="ar-SA"/>
              </w:rPr>
            </w:pPr>
          </w:p>
          <w:p>
            <w:pPr>
              <w:pStyle w:val="2"/>
              <w:spacing w:line="360" w:lineRule="auto"/>
              <w:ind w:firstLine="500" w:firstLineChars="200"/>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远程视频观察现场办公区域和小区的白天及夜晚安全及环境卫生管理，工作场所布局合理，设备齐全照明良好，满足需求。</w:t>
            </w:r>
          </w:p>
          <w:p>
            <w:pPr>
              <w:pStyle w:val="2"/>
              <w:spacing w:line="360" w:lineRule="auto"/>
              <w:ind w:firstLine="500" w:firstLineChars="200"/>
              <w:rPr>
                <w:rFonts w:hint="eastAsia" w:asciiTheme="minorEastAsia" w:hAnsiTheme="minorEastAsia" w:eastAsiaTheme="minorEastAsia" w:cstheme="minorEastAsia"/>
                <w:kern w:val="2"/>
                <w:sz w:val="21"/>
                <w:szCs w:val="21"/>
                <w:highlight w:val="none"/>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部门参加了2021.4.9.由行政部组织的火灾应急演练，有效果评价。</w:t>
            </w:r>
          </w:p>
          <w:p>
            <w:pPr>
              <w:pStyle w:val="2"/>
              <w:spacing w:line="360" w:lineRule="auto"/>
              <w:rPr>
                <w:rFonts w:hint="eastAsia" w:ascii="Arial" w:hAnsi="Arial" w:eastAsia="楷体_GB2312" w:cs="Times New Roman"/>
                <w:spacing w:val="20"/>
                <w:kern w:val="2"/>
                <w:sz w:val="21"/>
                <w:szCs w:val="21"/>
                <w:lang w:val="en-US" w:eastAsia="zh-CN" w:bidi="ar-SA"/>
              </w:rPr>
            </w:pPr>
            <w:r>
              <w:rPr>
                <w:rFonts w:hint="eastAsia" w:asciiTheme="minorEastAsia" w:hAnsiTheme="minorEastAsia" w:eastAsiaTheme="minorEastAsia" w:cstheme="minorEastAsia"/>
                <w:kern w:val="2"/>
                <w:sz w:val="21"/>
                <w:szCs w:val="21"/>
                <w:highlight w:val="none"/>
                <w:lang w:val="en-US" w:eastAsia="zh-CN" w:bidi="ar-SA"/>
              </w:rPr>
              <w:t>——项目点环境管理运行控制与应急响应控制基本符合。</w:t>
            </w:r>
          </w:p>
        </w:tc>
        <w:tc>
          <w:tcPr>
            <w:tcW w:w="1585" w:type="dxa"/>
          </w:tcPr>
          <w:p>
            <w:pPr>
              <w:spacing w:line="360" w:lineRule="auto"/>
              <w:rPr>
                <w:sz w:val="21"/>
                <w:szCs w:val="21"/>
              </w:rPr>
            </w:pPr>
          </w:p>
        </w:tc>
      </w:tr>
    </w:tbl>
    <w:p>
      <w:r>
        <w:ptab w:relativeTo="margin" w:alignment="center" w:leader="none"/>
      </w:r>
    </w:p>
    <w:p/>
    <w:p/>
    <w:p>
      <w:pPr>
        <w:pStyle w:val="4"/>
      </w:pPr>
      <w:r>
        <w:rPr>
          <w:rFonts w:hint="eastAsia"/>
        </w:rPr>
        <w:t>说明：不符合标注N</w:t>
      </w: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0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00"/>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4"/>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tabs>
        <w:tab w:val="left" w:pos="8910"/>
        <w:tab w:val="left" w:pos="9142"/>
        <w:tab w:val="clear" w:pos="4153"/>
      </w:tabs>
      <w:spacing w:line="320" w:lineRule="exact"/>
      <w:ind w:left="-86" w:leftChars="-41" w:firstLine="810" w:firstLineChars="450"/>
      <w:jc w:val="left"/>
      <w:rPr>
        <w:rStyle w:val="11"/>
        <w:rFonts w:hint="default"/>
      </w:rPr>
    </w:pPr>
    <w:r>
      <w:pict>
        <v:shape id="_x0000_s4097" o:spid="_x0000_s4097" o:spt="202" type="#_x0000_t202" style="position:absolute;left:0pt;margin-left:620.4pt;margin-top:12.55pt;height:20.2pt;width:102.7pt;z-index:251659264;mso-width-relative:page;mso-height-relative:page;" fillcolor="#FFFFFF" filled="t" stroked="f" coordsize="21600,21600">
          <v:path/>
          <v:fill on="t" color2="#FFFFFF" focussize="0,0"/>
          <v:stroke on="f" joinstyle="miter"/>
          <v:imagedata o:title=""/>
          <o:lock v:ext="edit"/>
          <v:textbox>
            <w:txbxContent>
              <w:p>
                <w:pPr>
                  <w:rPr>
                    <w:rFonts w:hint="eastAsia"/>
                    <w:sz w:val="18"/>
                    <w:szCs w:val="18"/>
                  </w:rPr>
                </w:pPr>
                <w:r>
                  <w:rPr>
                    <w:rFonts w:hint="eastAsia"/>
                    <w:sz w:val="18"/>
                    <w:szCs w:val="18"/>
                  </w:rPr>
                  <w:t>ISC-B-II-12(05版）</w:t>
                </w:r>
              </w:p>
            </w:txbxContent>
          </v:textbox>
        </v:shape>
      </w:pict>
    </w: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1"/>
        <w:rFonts w:hint="default"/>
      </w:rPr>
      <w:t>北京国标联合认证有限公司</w:t>
    </w:r>
    <w:r>
      <w:rPr>
        <w:rStyle w:val="11"/>
        <w:rFonts w:hint="default"/>
      </w:rPr>
      <w:tab/>
    </w:r>
    <w:r>
      <w:rPr>
        <w:rStyle w:val="11"/>
        <w:rFonts w:hint="default"/>
      </w:rPr>
      <w:tab/>
    </w:r>
    <w:r>
      <w:rPr>
        <w:rStyle w:val="11"/>
        <w:rFonts w:hint="default"/>
      </w:rPr>
      <w:tab/>
    </w:r>
  </w:p>
  <w:p>
    <w:pPr>
      <w:pStyle w:val="5"/>
      <w:pBdr>
        <w:bottom w:val="none" w:color="auto" w:sz="0" w:space="0"/>
      </w:pBdr>
      <w:spacing w:line="320" w:lineRule="exact"/>
      <w:ind w:firstLine="756" w:firstLineChars="400"/>
      <w:jc w:val="left"/>
    </w:pPr>
    <w:r>
      <w:rPr>
        <w:rStyle w:val="1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5F138A6"/>
    <w:multiLevelType w:val="singleLevel"/>
    <w:tmpl w:val="55F138A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22A642E"/>
    <w:rsid w:val="02FB5FAA"/>
    <w:rsid w:val="03394783"/>
    <w:rsid w:val="03746618"/>
    <w:rsid w:val="0457123C"/>
    <w:rsid w:val="07E77631"/>
    <w:rsid w:val="08F67484"/>
    <w:rsid w:val="0DEC7607"/>
    <w:rsid w:val="0DEF4DE0"/>
    <w:rsid w:val="0EF83B68"/>
    <w:rsid w:val="0F2B1A83"/>
    <w:rsid w:val="0F64193D"/>
    <w:rsid w:val="105C54A9"/>
    <w:rsid w:val="11E1306C"/>
    <w:rsid w:val="14253DD2"/>
    <w:rsid w:val="147F1F6F"/>
    <w:rsid w:val="158D082F"/>
    <w:rsid w:val="175005C5"/>
    <w:rsid w:val="18C70B28"/>
    <w:rsid w:val="1A9A2283"/>
    <w:rsid w:val="1AA8536F"/>
    <w:rsid w:val="1B3952B0"/>
    <w:rsid w:val="1BA07D6D"/>
    <w:rsid w:val="1BCC0B62"/>
    <w:rsid w:val="1C871201"/>
    <w:rsid w:val="1D0F193F"/>
    <w:rsid w:val="1D5222BD"/>
    <w:rsid w:val="1D721295"/>
    <w:rsid w:val="1DA64753"/>
    <w:rsid w:val="1F177DC4"/>
    <w:rsid w:val="20F01B1C"/>
    <w:rsid w:val="22207D6C"/>
    <w:rsid w:val="235F22BC"/>
    <w:rsid w:val="23943967"/>
    <w:rsid w:val="23F572DE"/>
    <w:rsid w:val="24324F03"/>
    <w:rsid w:val="25103DE8"/>
    <w:rsid w:val="25570229"/>
    <w:rsid w:val="25F74396"/>
    <w:rsid w:val="263E4D93"/>
    <w:rsid w:val="27156A20"/>
    <w:rsid w:val="28AE704F"/>
    <w:rsid w:val="29232042"/>
    <w:rsid w:val="29E12EF9"/>
    <w:rsid w:val="2E051CB2"/>
    <w:rsid w:val="2EAC0272"/>
    <w:rsid w:val="2EBA2574"/>
    <w:rsid w:val="2FB86827"/>
    <w:rsid w:val="30682FAF"/>
    <w:rsid w:val="31972984"/>
    <w:rsid w:val="326D6C9B"/>
    <w:rsid w:val="33544C42"/>
    <w:rsid w:val="340B764E"/>
    <w:rsid w:val="351E3332"/>
    <w:rsid w:val="368E360E"/>
    <w:rsid w:val="36A455E2"/>
    <w:rsid w:val="36CA2854"/>
    <w:rsid w:val="399F6B05"/>
    <w:rsid w:val="39A52E5C"/>
    <w:rsid w:val="3A0B68A2"/>
    <w:rsid w:val="3B9052B1"/>
    <w:rsid w:val="3BAB3E99"/>
    <w:rsid w:val="3D574010"/>
    <w:rsid w:val="3DC92D24"/>
    <w:rsid w:val="3E2E0468"/>
    <w:rsid w:val="3E9C3CA2"/>
    <w:rsid w:val="43324E9F"/>
    <w:rsid w:val="433B01F8"/>
    <w:rsid w:val="43DC36E8"/>
    <w:rsid w:val="44A449DB"/>
    <w:rsid w:val="451B0311"/>
    <w:rsid w:val="460C6E11"/>
    <w:rsid w:val="46445F7E"/>
    <w:rsid w:val="47845A3D"/>
    <w:rsid w:val="480706A9"/>
    <w:rsid w:val="486C58E8"/>
    <w:rsid w:val="48763867"/>
    <w:rsid w:val="488A68CF"/>
    <w:rsid w:val="49293247"/>
    <w:rsid w:val="49492077"/>
    <w:rsid w:val="4A0A0924"/>
    <w:rsid w:val="4A1F72B0"/>
    <w:rsid w:val="4B616322"/>
    <w:rsid w:val="4B941D1B"/>
    <w:rsid w:val="4C547C35"/>
    <w:rsid w:val="4C9F56DB"/>
    <w:rsid w:val="4CE60ED2"/>
    <w:rsid w:val="4D0C050F"/>
    <w:rsid w:val="4DE43318"/>
    <w:rsid w:val="4E417219"/>
    <w:rsid w:val="4E74636C"/>
    <w:rsid w:val="4EB94B35"/>
    <w:rsid w:val="4EC8490A"/>
    <w:rsid w:val="4F322122"/>
    <w:rsid w:val="4F894099"/>
    <w:rsid w:val="4FBB579E"/>
    <w:rsid w:val="50604AE7"/>
    <w:rsid w:val="52497B10"/>
    <w:rsid w:val="52F17409"/>
    <w:rsid w:val="53123DCC"/>
    <w:rsid w:val="53D3732A"/>
    <w:rsid w:val="56AF2538"/>
    <w:rsid w:val="5971108F"/>
    <w:rsid w:val="5980650D"/>
    <w:rsid w:val="5B9242D5"/>
    <w:rsid w:val="5DA826B9"/>
    <w:rsid w:val="5DE30E18"/>
    <w:rsid w:val="5E366C06"/>
    <w:rsid w:val="5F2D3AFE"/>
    <w:rsid w:val="5F802E3A"/>
    <w:rsid w:val="60D95623"/>
    <w:rsid w:val="62206ADF"/>
    <w:rsid w:val="62E927DD"/>
    <w:rsid w:val="62EB1C4F"/>
    <w:rsid w:val="638578C3"/>
    <w:rsid w:val="6417580E"/>
    <w:rsid w:val="65C73A1A"/>
    <w:rsid w:val="66524D8D"/>
    <w:rsid w:val="66BB4557"/>
    <w:rsid w:val="67EE32C9"/>
    <w:rsid w:val="6CC02CE9"/>
    <w:rsid w:val="6CD43D55"/>
    <w:rsid w:val="6F2C1946"/>
    <w:rsid w:val="70251764"/>
    <w:rsid w:val="70421843"/>
    <w:rsid w:val="70EE5FFA"/>
    <w:rsid w:val="71770865"/>
    <w:rsid w:val="717725F6"/>
    <w:rsid w:val="73043AAC"/>
    <w:rsid w:val="73C9134B"/>
    <w:rsid w:val="73CD620E"/>
    <w:rsid w:val="76AA651F"/>
    <w:rsid w:val="78D83818"/>
    <w:rsid w:val="79444585"/>
    <w:rsid w:val="79992D84"/>
    <w:rsid w:val="79F855FB"/>
    <w:rsid w:val="7BA80740"/>
    <w:rsid w:val="7BE355C9"/>
    <w:rsid w:val="7C124BEC"/>
    <w:rsid w:val="7C2C75A1"/>
    <w:rsid w:val="7D0B1159"/>
    <w:rsid w:val="7D5A1970"/>
    <w:rsid w:val="7ED10D4F"/>
    <w:rsid w:val="7EF94DF6"/>
    <w:rsid w:val="7F4E65E2"/>
    <w:rsid w:val="7FCC649B"/>
    <w:rsid w:val="7FD665D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line="312" w:lineRule="auto"/>
    </w:pPr>
    <w:rPr>
      <w:rFonts w:ascii="Arial" w:hAnsi="Arial" w:eastAsia="楷体_GB2312"/>
      <w:spacing w:val="20"/>
      <w:sz w:val="24"/>
    </w:rPr>
  </w:style>
  <w:style w:type="paragraph" w:styleId="3">
    <w:name w:val="Balloon Text"/>
    <w:basedOn w:val="1"/>
    <w:link w:val="10"/>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qFormat/>
    <w:uiPriority w:val="99"/>
    <w:rPr>
      <w:rFonts w:ascii="Times New Roman" w:hAnsi="Times New Roman" w:eastAsia="宋体" w:cs="Times New Roman"/>
      <w:sz w:val="18"/>
      <w:szCs w:val="18"/>
    </w:rPr>
  </w:style>
  <w:style w:type="character" w:customStyle="1" w:styleId="9">
    <w:name w:val="页脚 字符"/>
    <w:basedOn w:val="7"/>
    <w:link w:val="4"/>
    <w:qFormat/>
    <w:uiPriority w:val="99"/>
    <w:rPr>
      <w:rFonts w:ascii="Times New Roman" w:hAnsi="Times New Roman" w:eastAsia="宋体" w:cs="Times New Roman"/>
      <w:sz w:val="18"/>
      <w:szCs w:val="18"/>
    </w:rPr>
  </w:style>
  <w:style w:type="character" w:customStyle="1" w:styleId="10">
    <w:name w:val="批注框文本 字符"/>
    <w:basedOn w:val="7"/>
    <w:link w:val="3"/>
    <w:semiHidden/>
    <w:qFormat/>
    <w:uiPriority w:val="99"/>
    <w:rPr>
      <w:rFonts w:ascii="Times New Roman" w:hAnsi="Times New Roman" w:eastAsia="宋体" w:cs="Times New Roman"/>
      <w:sz w:val="18"/>
      <w:szCs w:val="18"/>
    </w:rPr>
  </w:style>
  <w:style w:type="character" w:customStyle="1" w:styleId="11">
    <w:name w:val="Char Char1"/>
    <w:qFormat/>
    <w:locked/>
    <w:uiPriority w:val="0"/>
    <w:rPr>
      <w:rFonts w:hint="eastAsia" w:ascii="宋体" w:hAnsi="Courier New" w:eastAsia="宋体"/>
      <w:kern w:val="2"/>
      <w:sz w:val="21"/>
      <w:lang w:val="en-US" w:eastAsia="zh-CN" w:bidi="ar-SA"/>
    </w:rPr>
  </w:style>
  <w:style w:type="paragraph" w:customStyle="1" w:styleId="12">
    <w:name w:val="表格文字"/>
    <w:basedOn w:val="1"/>
    <w:qFormat/>
    <w:uiPriority w:val="0"/>
    <w:pPr>
      <w:spacing w:before="25" w:after="25"/>
    </w:pPr>
    <w:rPr>
      <w:bCs/>
      <w:spacing w:val="10"/>
    </w:rPr>
  </w:style>
  <w:style w:type="paragraph" w:styleId="13">
    <w:name w:val="No Spacing"/>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22</Words>
  <Characters>126</Characters>
  <Lines>1</Lines>
  <Paragraphs>1</Paragraphs>
  <TotalTime>0</TotalTime>
  <ScaleCrop>false</ScaleCrop>
  <LinksUpToDate>false</LinksUpToDate>
  <CharactersWithSpaces>147</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匡吉文</cp:lastModifiedBy>
  <dcterms:modified xsi:type="dcterms:W3CDTF">2021-11-30T08:58:44Z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2052-11.1.0.11045</vt:lpwstr>
  </property>
</Properties>
</file>