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rFonts w:hint="eastAsia"/>
                <w:sz w:val="24"/>
                <w:szCs w:val="24"/>
              </w:rPr>
              <w:t>总经理</w:t>
            </w:r>
            <w:r>
              <w:rPr>
                <w:rFonts w:hint="eastAsia"/>
                <w:sz w:val="24"/>
                <w:szCs w:val="24"/>
                <w:lang w:eastAsia="zh-CN"/>
              </w:rPr>
              <w:t>：</w:t>
            </w:r>
            <w:r>
              <w:rPr>
                <w:rFonts w:hint="eastAsia"/>
                <w:sz w:val="24"/>
                <w:szCs w:val="24"/>
                <w:lang w:val="en-US" w:eastAsia="zh-CN"/>
              </w:rPr>
              <w:t>窦景阵  管代</w:t>
            </w:r>
            <w:r>
              <w:rPr>
                <w:rFonts w:hint="eastAsia"/>
                <w:sz w:val="24"/>
                <w:szCs w:val="24"/>
              </w:rPr>
              <w:t>：</w:t>
            </w:r>
            <w:r>
              <w:rPr>
                <w:rFonts w:hint="eastAsia"/>
                <w:sz w:val="24"/>
                <w:szCs w:val="24"/>
                <w:lang w:val="en-US" w:eastAsia="zh-CN"/>
              </w:rPr>
              <w:t xml:space="preserve">张林飞   </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val="en-US" w:eastAsia="zh-CN"/>
              </w:rPr>
              <w:t>温红玲</w:t>
            </w:r>
            <w:r>
              <w:rPr>
                <w:rFonts w:hint="eastAsia"/>
                <w:sz w:val="24"/>
                <w:szCs w:val="24"/>
              </w:rPr>
              <w:t xml:space="preserve">  </w:t>
            </w:r>
            <w:r>
              <w:rPr>
                <w:rFonts w:hint="eastAsia"/>
                <w:sz w:val="24"/>
                <w:szCs w:val="24"/>
                <w:lang w:val="en-US" w:eastAsia="zh-CN"/>
              </w:rPr>
              <w:t xml:space="preserve">王海燕（EO实习） </w:t>
            </w:r>
            <w:r>
              <w:rPr>
                <w:rFonts w:hint="eastAsia"/>
                <w:sz w:val="24"/>
                <w:szCs w:val="24"/>
              </w:rPr>
              <w:t xml:space="preserve"> 审核时间：</w:t>
            </w:r>
            <w:r>
              <w:rPr>
                <w:rFonts w:hint="eastAsia" w:ascii="Times New Roman" w:hAnsi="Times New Roman" w:eastAsia="宋体" w:cs="Times New Roman"/>
                <w:b/>
                <w:kern w:val="2"/>
                <w:sz w:val="21"/>
                <w:szCs w:val="21"/>
                <w:lang w:val="en-US" w:eastAsia="zh-CN" w:bidi="ar-SA"/>
              </w:rPr>
              <w:t>2021.1</w:t>
            </w:r>
            <w:r>
              <w:rPr>
                <w:rFonts w:hint="eastAsia" w:cs="Times New Roman"/>
                <w:b/>
                <w:kern w:val="2"/>
                <w:sz w:val="21"/>
                <w:szCs w:val="21"/>
                <w:lang w:val="en-US" w:eastAsia="zh-CN" w:bidi="ar-SA"/>
              </w:rPr>
              <w:t>1</w:t>
            </w: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17</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spacing w:line="240" w:lineRule="auto"/>
              <w:rPr>
                <w:rFonts w:hint="eastAsia"/>
              </w:rPr>
            </w:pPr>
            <w:r>
              <w:rPr>
                <w:rFonts w:hint="eastAsia"/>
              </w:rPr>
              <w:t>审核条款：</w:t>
            </w:r>
          </w:p>
          <w:p>
            <w:pPr>
              <w:pStyle w:val="11"/>
              <w:spacing w:line="240" w:lineRule="auto"/>
              <w:rPr>
                <w:rFonts w:hint="eastAsia"/>
              </w:rPr>
            </w:pPr>
            <w:r>
              <w:rPr>
                <w:rFonts w:hint="eastAsia"/>
              </w:rPr>
              <w:t xml:space="preserve">QMS-2015 </w:t>
            </w:r>
          </w:p>
          <w:p>
            <w:pPr>
              <w:pStyle w:val="11"/>
              <w:spacing w:line="240" w:lineRule="auto"/>
              <w:rPr>
                <w:rFonts w:hint="eastAsia"/>
              </w:rPr>
            </w:pPr>
            <w:r>
              <w:rPr>
                <w:rFonts w:hint="eastAsia"/>
              </w:rPr>
              <w:t>4.1组织及其环境;4.2相关方需求与期望;4.3确定体系范围;4.4体系及其过程;5.1领导作用与承诺;5.2方针;5.3组织的角色、职责和权限；6.1应对风险和机遇的措施；6.2目标及其实现的策划；6.3变更的策划；7.1.1资源 总则；</w:t>
            </w:r>
            <w:r>
              <w:rPr>
                <w:rFonts w:hint="eastAsia"/>
                <w:lang w:val="en-US" w:eastAsia="zh-CN"/>
              </w:rPr>
              <w:t>9.1.1监视、测量、分析和评价 总则</w:t>
            </w:r>
            <w:r>
              <w:rPr>
                <w:rFonts w:hint="eastAsia"/>
              </w:rPr>
              <w:t>9.3管理评审；10.1改进 总则；10.3持续改进</w:t>
            </w:r>
          </w:p>
          <w:p>
            <w:pPr>
              <w:pStyle w:val="11"/>
              <w:spacing w:line="240" w:lineRule="auto"/>
              <w:rPr>
                <w:rFonts w:hint="eastAsia"/>
              </w:rPr>
            </w:pPr>
            <w:r>
              <w:rPr>
                <w:rFonts w:hint="eastAsia"/>
              </w:rPr>
              <w:t xml:space="preserve">EMS-2015 </w:t>
            </w:r>
          </w:p>
          <w:p>
            <w:pPr>
              <w:pStyle w:val="11"/>
              <w:spacing w:line="240" w:lineRule="auto"/>
              <w:rPr>
                <w:rFonts w:hint="eastAsia"/>
              </w:rPr>
            </w:pPr>
            <w:r>
              <w:rPr>
                <w:rFonts w:hint="eastAsia"/>
              </w:rPr>
              <w:t>4.1组织及其环境;4.2相关方需求与期望;4.3确定体系范围;4.4体系;5.1领导作用与承诺;5.2方针;5.3组织的角色、职责和权限； 6.1.1策划总则；6.1.4措施的策划；6.2目标及其实现的策划；7.1资源；</w:t>
            </w:r>
            <w:r>
              <w:rPr>
                <w:rFonts w:hint="eastAsia"/>
                <w:lang w:val="en-US" w:eastAsia="zh-CN"/>
              </w:rPr>
              <w:t>9.1.1监视、测量、分析和评价 总则</w:t>
            </w:r>
            <w:r>
              <w:rPr>
                <w:rFonts w:hint="eastAsia"/>
              </w:rPr>
              <w:t>；9.3管理评审；10.1改进 总则；10.3持续改进。</w:t>
            </w:r>
          </w:p>
          <w:p>
            <w:pPr>
              <w:pStyle w:val="11"/>
              <w:spacing w:line="240" w:lineRule="auto"/>
              <w:rPr>
                <w:rFonts w:hint="eastAsia"/>
              </w:rPr>
            </w:pPr>
            <w:r>
              <w:rPr>
                <w:rFonts w:hint="eastAsia"/>
              </w:rPr>
              <w:t>ISO 45001：2018</w:t>
            </w:r>
          </w:p>
          <w:p>
            <w:pPr>
              <w:pStyle w:val="11"/>
              <w:spacing w:line="240" w:lineRule="auto"/>
            </w:pPr>
            <w:r>
              <w:rPr>
                <w:rFonts w:hint="eastAsia"/>
              </w:rPr>
              <w:t>4.1组织及其环境;4.2相关方需求与期望;4.3确定体系范围;4.4体系;5.1领导作用与承诺;5.2方针;5.3组织的角色、职责和权限；5.4员工参与和协商；6.1应对风险和机遇的措施6.1.4措施的策划；6.2目标及其实现的策划；7.1资源；</w:t>
            </w:r>
            <w:r>
              <w:rPr>
                <w:rFonts w:hint="eastAsia"/>
                <w:lang w:val="en-US" w:eastAsia="zh-CN"/>
              </w:rPr>
              <w:t>9.1.1监视、测量、分析和评价 总则</w:t>
            </w:r>
            <w:r>
              <w:rPr>
                <w:rFonts w:hint="eastAsia"/>
              </w:rPr>
              <w:t>；9.3管理评审；10.1事件、不符合和纠正措施；10.3持续改进。</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spacing w:line="240" w:lineRule="auto"/>
              <w:rPr>
                <w:rFonts w:hint="eastAsia" w:ascii="Arial" w:hAnsi="Arial" w:cs="Arial"/>
                <w:bCs/>
              </w:rPr>
            </w:pPr>
            <w:r>
              <w:rPr>
                <w:rFonts w:hint="eastAsia" w:ascii="Arial" w:hAnsi="Arial" w:cs="Arial"/>
                <w:bCs/>
              </w:rPr>
              <w:t>馆陶县永旺物业服务有限公司成立以来，经过规范化管理的磨练和不断的探索、创新，已经形成了自己独具风格的管理模式。与每一家成功企业一样，公司的每个层面都要有一个核心团队，公司为了打造各级团队的凝聚力、创造力和执行力，将各级人员的培训、创建有特色的企业文化作为首要核心工作。送出去，请进来，不惜重金投资学习和培训，在培养和稳定自身队伍的同时，公司注重吸纳文化素质高、专业能力强的优秀人才加盟到大家庭，不断的补充新鲜血液、引进先进的管理理念。由于有了一支业务精、执行力强的团队，弘扬“团结进取，求实创新，全面服务”的企业精神已成为每个人的自觉行动，我们正以极大的热情和高昂的士气为用户和客户提供着最优质的服务。馆陶县永旺物业服务有限公司业务范围主要是物业管理服务</w:t>
            </w:r>
          </w:p>
          <w:p>
            <w:pPr>
              <w:spacing w:line="240" w:lineRule="auto"/>
              <w:rPr>
                <w:rFonts w:hint="eastAsia" w:ascii="Arial" w:hAnsi="Arial" w:cs="Arial"/>
                <w:bCs/>
              </w:rPr>
            </w:pPr>
            <w:r>
              <w:rPr>
                <w:rFonts w:hint="eastAsia" w:ascii="Arial" w:hAnsi="Arial" w:cs="Arial"/>
                <w:bCs/>
              </w:rPr>
              <w:t>公司本着服务理念：以人为本、强化服务；</w:t>
            </w:r>
          </w:p>
          <w:p>
            <w:pPr>
              <w:spacing w:line="240" w:lineRule="auto"/>
              <w:rPr>
                <w:rFonts w:hint="eastAsia" w:ascii="Arial" w:hAnsi="Arial" w:cs="Arial"/>
                <w:bCs/>
              </w:rPr>
            </w:pPr>
            <w:r>
              <w:rPr>
                <w:rFonts w:hint="eastAsia" w:ascii="Arial" w:hAnsi="Arial" w:cs="Arial"/>
                <w:bCs/>
              </w:rPr>
              <w:t>经营理念：注重品牌、适时发展；管理理念：规范、严格、主动、高效；人才理念：以人为本、共同发展的公司理念，本着高效、精干的原则，谦虚、协作、勤俭、创新的企业精神，以人为本、客户至上的管理宗旨，独具特色的物业管理服务和科学的手段，使公司在经济高速发展起来的新兴行业中，成为一个多方位、高层次、规范化的综合性管理公司，为每位客户营造出一个安全、舒适、清洁、优雅、便捷的生活及办公环境。</w:t>
            </w:r>
          </w:p>
          <w:p>
            <w:pPr>
              <w:spacing w:line="240" w:lineRule="auto"/>
              <w:rPr>
                <w:rFonts w:ascii="Arial" w:hAnsi="Arial" w:cs="Arial"/>
              </w:rPr>
            </w:pPr>
            <w:r>
              <w:rPr>
                <w:rFonts w:hint="eastAsia" w:ascii="Arial" w:hAnsi="Arial" w:cs="Arial"/>
              </w:rPr>
              <w:t>管理手册YWWY—SC—A/0-2021，实施、发布日期：2021年4月10日。</w:t>
            </w:r>
          </w:p>
          <w:p>
            <w:pPr>
              <w:autoSpaceDE w:val="0"/>
              <w:autoSpaceDN w:val="0"/>
              <w:adjustRightInd w:val="0"/>
              <w:spacing w:line="240" w:lineRule="auto"/>
              <w:rPr>
                <w:rFonts w:hint="eastAsia" w:ascii="Arial" w:hAnsi="Arial" w:cs="Arial"/>
              </w:rPr>
            </w:pPr>
            <w:r>
              <w:rPr>
                <w:rFonts w:hint="eastAsia" w:ascii="Arial" w:hAnsi="Arial" w:cs="Arial"/>
              </w:rPr>
              <w:t>认证范围：</w:t>
            </w:r>
          </w:p>
          <w:p>
            <w:pPr>
              <w:autoSpaceDE w:val="0"/>
              <w:autoSpaceDN w:val="0"/>
              <w:adjustRightInd w:val="0"/>
              <w:spacing w:line="240" w:lineRule="auto"/>
              <w:ind w:firstLine="480"/>
              <w:rPr>
                <w:rFonts w:hint="eastAsia" w:ascii="Arial" w:hAnsi="Arial" w:cs="Arial"/>
              </w:rPr>
            </w:pPr>
            <w:r>
              <w:rPr>
                <w:rFonts w:hint="eastAsia" w:ascii="Arial" w:hAnsi="Arial" w:cs="Arial"/>
              </w:rPr>
              <w:t>Q：物业管理服务</w:t>
            </w:r>
          </w:p>
          <w:p>
            <w:pPr>
              <w:autoSpaceDE w:val="0"/>
              <w:autoSpaceDN w:val="0"/>
              <w:adjustRightInd w:val="0"/>
              <w:spacing w:line="240" w:lineRule="auto"/>
              <w:ind w:firstLine="480"/>
              <w:rPr>
                <w:rFonts w:hint="eastAsia" w:ascii="Arial" w:hAnsi="Arial" w:cs="Arial"/>
              </w:rPr>
            </w:pPr>
            <w:r>
              <w:rPr>
                <w:rFonts w:hint="eastAsia" w:ascii="Arial" w:hAnsi="Arial" w:cs="Arial"/>
              </w:rPr>
              <w:t>E：物业管理服务所涉及场所的相关环境管理活动</w:t>
            </w:r>
          </w:p>
          <w:p>
            <w:pPr>
              <w:autoSpaceDE w:val="0"/>
              <w:autoSpaceDN w:val="0"/>
              <w:adjustRightInd w:val="0"/>
              <w:spacing w:line="240" w:lineRule="auto"/>
              <w:ind w:firstLine="480"/>
              <w:rPr>
                <w:rFonts w:hint="eastAsia" w:ascii="Arial" w:hAnsi="Arial" w:cs="Arial"/>
              </w:rPr>
            </w:pPr>
            <w:r>
              <w:rPr>
                <w:rFonts w:hint="eastAsia" w:ascii="Arial" w:hAnsi="Arial" w:cs="Arial"/>
              </w:rPr>
              <w:t>O：物业管理服务所涉及场所的相关职业健康安全管理活动</w:t>
            </w:r>
          </w:p>
          <w:p>
            <w:pPr>
              <w:autoSpaceDE w:val="0"/>
              <w:autoSpaceDN w:val="0"/>
              <w:adjustRightInd w:val="0"/>
              <w:spacing w:line="240" w:lineRule="auto"/>
              <w:ind w:firstLine="480"/>
              <w:rPr>
                <w:rFonts w:ascii="宋体" w:hAnsi="宋体" w:cs="宋体"/>
                <w:szCs w:val="21"/>
              </w:rPr>
            </w:pPr>
            <w:r>
              <w:rPr>
                <w:rFonts w:hint="eastAsia" w:ascii="宋体" w:hAnsi="宋体" w:cs="宋体"/>
                <w:szCs w:val="21"/>
              </w:rPr>
              <w:t>法律法规：公司地处</w:t>
            </w:r>
            <w:r>
              <w:rPr>
                <w:rFonts w:hint="eastAsia" w:ascii="Arial" w:hAnsi="Arial" w:cs="Arial"/>
                <w:bCs/>
              </w:rPr>
              <w:t>河北省邯郸市馆陶县筑先路北段东侧（华悦大酒店北邻）</w:t>
            </w:r>
            <w:r>
              <w:rPr>
                <w:rFonts w:hint="eastAsia" w:ascii="宋体" w:hAnsi="宋体" w:cs="宋体"/>
                <w:szCs w:val="21"/>
              </w:rPr>
              <w:t>，在环境和职业健康安全方面符合国家</w:t>
            </w:r>
            <w:r>
              <w:rPr>
                <w:rFonts w:hint="eastAsia" w:ascii="宋体" w:hAnsi="宋体" w:cs="宋体"/>
                <w:szCs w:val="21"/>
                <w:lang w:eastAsia="zh-CN"/>
              </w:rPr>
              <w:t>、</w:t>
            </w:r>
            <w:r>
              <w:rPr>
                <w:rFonts w:hint="eastAsia" w:ascii="宋体" w:hAnsi="宋体" w:cs="宋体"/>
                <w:szCs w:val="21"/>
              </w:rPr>
              <w:t>本省</w:t>
            </w:r>
            <w:r>
              <w:rPr>
                <w:rFonts w:hint="eastAsia" w:ascii="宋体" w:hAnsi="宋体" w:cs="宋体"/>
                <w:szCs w:val="21"/>
                <w:lang w:eastAsia="zh-CN"/>
              </w:rPr>
              <w:t>、</w:t>
            </w:r>
            <w:r>
              <w:rPr>
                <w:rFonts w:hint="eastAsia" w:ascii="宋体" w:hAnsi="宋体" w:cs="宋体"/>
                <w:szCs w:val="21"/>
                <w:lang w:val="en-US" w:eastAsia="zh-CN"/>
              </w:rPr>
              <w:t>地方</w:t>
            </w:r>
            <w:r>
              <w:rPr>
                <w:rFonts w:hint="eastAsia" w:ascii="宋体" w:hAnsi="宋体" w:cs="宋体"/>
                <w:szCs w:val="21"/>
              </w:rPr>
              <w:t>的环境和安全法律法规要求。</w:t>
            </w:r>
          </w:p>
          <w:p>
            <w:pPr>
              <w:autoSpaceDE w:val="0"/>
              <w:autoSpaceDN w:val="0"/>
              <w:adjustRightInd w:val="0"/>
              <w:spacing w:line="240" w:lineRule="auto"/>
              <w:ind w:firstLine="480"/>
              <w:rPr>
                <w:rFonts w:ascii="宋体" w:hAnsi="宋体" w:cs="宋体"/>
                <w:szCs w:val="21"/>
              </w:rPr>
            </w:pPr>
            <w:r>
              <w:rPr>
                <w:rFonts w:hint="eastAsia" w:ascii="宋体" w:hAnsi="宋体" w:cs="宋体"/>
                <w:szCs w:val="21"/>
                <w:lang w:val="en-US" w:eastAsia="zh-CN"/>
              </w:rPr>
              <w:t>与总经理沟通，</w:t>
            </w:r>
            <w:r>
              <w:rPr>
                <w:rFonts w:hint="eastAsia" w:ascii="宋体" w:hAnsi="宋体" w:cs="宋体"/>
                <w:szCs w:val="21"/>
              </w:rPr>
              <w:t>公司领导层确定外部和内部与公司的宗旨、战略方向有关、影响质量管理体系实现预期结果的能力的因素。</w:t>
            </w:r>
            <w:r>
              <w:rPr>
                <w:rFonts w:hint="eastAsia" w:ascii="宋体" w:hAnsi="宋体" w:cs="宋体"/>
                <w:szCs w:val="21"/>
                <w:lang w:val="en-US" w:eastAsia="zh-CN"/>
              </w:rPr>
              <w:t>提供有《公司内外部因素分析表》，</w:t>
            </w:r>
            <w:r>
              <w:rPr>
                <w:rFonts w:hint="eastAsia" w:ascii="宋体" w:hAnsi="宋体" w:cs="宋体"/>
                <w:szCs w:val="21"/>
              </w:rPr>
              <w:t>外部因素考虑：国际、国内、地区和当地的各种法律法规、技术、竞争、文化、社会、经济和自然环境方面（不管是国际、国家、地区或本地）等因素；内部因素考虑：公司的价值观、文化、知识和绩效等因素</w:t>
            </w:r>
            <w:r>
              <w:rPr>
                <w:rFonts w:hint="eastAsia" w:ascii="宋体" w:hAnsi="宋体" w:cs="宋体"/>
                <w:szCs w:val="21"/>
                <w:lang w:eastAsia="zh-CN"/>
              </w:rPr>
              <w:t>。</w:t>
            </w:r>
            <w:r>
              <w:rPr>
                <w:rFonts w:hint="eastAsia" w:ascii="宋体" w:hAnsi="宋体" w:cs="宋体"/>
                <w:szCs w:val="21"/>
              </w:rPr>
              <w:t xml:space="preserve"> 总经理负责组织对确定的内部和外部因素的相关信息进行监视和评审，以确保质量、管理体系与公司的战略方向一致，并实现其预期的结果。</w:t>
            </w:r>
          </w:p>
        </w:tc>
        <w:tc>
          <w:tcPr>
            <w:tcW w:w="895" w:type="dxa"/>
          </w:tcPr>
          <w:p>
            <w:pPr>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QEO4.2</w:t>
            </w:r>
          </w:p>
          <w:p>
            <w:pPr>
              <w:spacing w:line="280" w:lineRule="exact"/>
            </w:pPr>
          </w:p>
        </w:tc>
        <w:tc>
          <w:tcPr>
            <w:tcW w:w="10642" w:type="dxa"/>
            <w:vAlign w:val="center"/>
          </w:tcPr>
          <w:p>
            <w:pPr>
              <w:autoSpaceDE w:val="0"/>
              <w:autoSpaceDN w:val="0"/>
              <w:adjustRightInd w:val="0"/>
              <w:spacing w:line="24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w:t>
            </w:r>
            <w:r>
              <w:rPr>
                <w:rFonts w:hint="eastAsia" w:ascii="宋体" w:hAnsi="宋体" w:cs="宋体"/>
                <w:szCs w:val="21"/>
                <w:lang w:val="en-US" w:eastAsia="zh-CN"/>
              </w:rPr>
              <w:t>按照管理手册要求对相关方的需求和期望进行管理</w:t>
            </w:r>
            <w:r>
              <w:rPr>
                <w:rFonts w:hint="eastAsia" w:ascii="宋体" w:hAnsi="宋体" w:cs="宋体"/>
                <w:szCs w:val="21"/>
              </w:rPr>
              <w:t xml:space="preserve"> ，以理解相关方的需求和期望以便帮助本公司更好的建立清晰的方针和目标，做到目的明确；由于相关方对组织持续提供符合顾客要求和适用法律法规要求的产品和服务的能力产生影响或潜在影响，</w:t>
            </w:r>
            <w:r>
              <w:rPr>
                <w:rFonts w:hint="eastAsia" w:ascii="宋体" w:hAnsi="宋体" w:cs="宋体"/>
                <w:szCs w:val="21"/>
                <w:lang w:val="en-US" w:eastAsia="zh-CN"/>
              </w:rPr>
              <w:t>提供《</w:t>
            </w:r>
            <w:r>
              <w:rPr>
                <w:rFonts w:hint="eastAsia" w:ascii="宋体" w:hAnsi="宋体" w:cs="宋体"/>
                <w:szCs w:val="21"/>
              </w:rPr>
              <w:t>相关方需求和期望清单</w:t>
            </w:r>
            <w:r>
              <w:rPr>
                <w:rFonts w:hint="eastAsia" w:ascii="宋体" w:hAnsi="宋体" w:cs="宋体"/>
                <w:szCs w:val="21"/>
                <w:lang w:eastAsia="zh-CN"/>
              </w:rPr>
              <w:t>》，</w:t>
            </w:r>
            <w:r>
              <w:rPr>
                <w:rFonts w:hint="eastAsia" w:ascii="宋体" w:hAnsi="宋体" w:cs="宋体"/>
                <w:szCs w:val="21"/>
              </w:rPr>
              <w:t>公司确定了：</w:t>
            </w:r>
          </w:p>
          <w:p>
            <w:pPr>
              <w:autoSpaceDE w:val="0"/>
              <w:autoSpaceDN w:val="0"/>
              <w:adjustRightInd w:val="0"/>
              <w:spacing w:line="240" w:lineRule="auto"/>
              <w:rPr>
                <w:rFonts w:ascii="宋体" w:hAnsi="宋体" w:cs="宋体"/>
                <w:szCs w:val="21"/>
              </w:rPr>
            </w:pPr>
            <w:bookmarkStart w:id="0" w:name="_Toc475020125"/>
            <w:bookmarkStart w:id="1" w:name="_Toc475019994"/>
            <w:r>
              <w:rPr>
                <w:rFonts w:hint="eastAsia" w:ascii="宋体" w:hAnsi="宋体" w:cs="宋体"/>
                <w:szCs w:val="21"/>
              </w:rPr>
              <w:t>与质量/环境/职业健康安全管理体系有关的相关方</w:t>
            </w:r>
            <w:bookmarkEnd w:id="0"/>
            <w:bookmarkEnd w:id="1"/>
            <w:r>
              <w:rPr>
                <w:rFonts w:hint="eastAsia" w:ascii="宋体" w:hAnsi="宋体" w:cs="宋体"/>
                <w:szCs w:val="21"/>
              </w:rPr>
              <w:t>；</w:t>
            </w:r>
          </w:p>
          <w:p>
            <w:pPr>
              <w:autoSpaceDE w:val="0"/>
              <w:autoSpaceDN w:val="0"/>
              <w:adjustRightInd w:val="0"/>
              <w:spacing w:line="24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240" w:lineRule="auto"/>
            </w:pPr>
            <w:r>
              <w:rPr>
                <w:rFonts w:hint="eastAsia" w:ascii="宋体" w:hAnsi="宋体" w:cs="宋体"/>
                <w:szCs w:val="21"/>
              </w:rPr>
              <w:t>公司对这些相关方及其要求的相关信息进行监视和评审，理解和持续满足相关方的需求和期望。</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QEO4.3</w:t>
            </w:r>
          </w:p>
          <w:p>
            <w:pPr>
              <w:spacing w:line="280" w:lineRule="exact"/>
            </w:pPr>
          </w:p>
        </w:tc>
        <w:tc>
          <w:tcPr>
            <w:tcW w:w="10642" w:type="dxa"/>
            <w:vAlign w:val="center"/>
          </w:tcPr>
          <w:p>
            <w:pPr>
              <w:spacing w:line="240" w:lineRule="auto"/>
              <w:jc w:val="left"/>
              <w:rPr>
                <w:rFonts w:ascii="宋体" w:hAnsi="宋体" w:cs="宋体"/>
                <w:szCs w:val="21"/>
              </w:rPr>
            </w:pPr>
            <w:r>
              <w:rPr>
                <w:rFonts w:hint="eastAsia" w:ascii="宋体" w:hAnsi="宋体" w:cs="宋体"/>
                <w:szCs w:val="21"/>
              </w:rPr>
              <w:t>公司管理体系范围为：</w:t>
            </w:r>
          </w:p>
          <w:p>
            <w:pPr>
              <w:spacing w:line="240" w:lineRule="auto"/>
              <w:rPr>
                <w:rFonts w:hint="eastAsia" w:ascii="Arial" w:hAnsi="Arial" w:cs="Arial"/>
              </w:rPr>
            </w:pPr>
            <w:r>
              <w:rPr>
                <w:rFonts w:hint="eastAsia" w:ascii="Arial" w:hAnsi="Arial" w:cs="Arial"/>
              </w:rPr>
              <w:t>Q：物业管理服务</w:t>
            </w:r>
          </w:p>
          <w:p>
            <w:pPr>
              <w:spacing w:line="240" w:lineRule="auto"/>
              <w:rPr>
                <w:rFonts w:hint="eastAsia" w:ascii="Arial" w:hAnsi="Arial" w:cs="Arial"/>
              </w:rPr>
            </w:pPr>
            <w:r>
              <w:rPr>
                <w:rFonts w:hint="eastAsia" w:ascii="Arial" w:hAnsi="Arial" w:cs="Arial"/>
              </w:rPr>
              <w:t>E：物业管理服务所涉及场所的相关环境管理活动</w:t>
            </w:r>
          </w:p>
          <w:p>
            <w:pPr>
              <w:spacing w:line="240" w:lineRule="auto"/>
              <w:rPr>
                <w:rFonts w:hint="eastAsia" w:ascii="Arial" w:hAnsi="Arial" w:cs="Arial"/>
              </w:rPr>
            </w:pPr>
            <w:r>
              <w:rPr>
                <w:rFonts w:hint="eastAsia" w:ascii="Arial" w:hAnsi="Arial" w:cs="Arial"/>
              </w:rPr>
              <w:t>O：物业管理服务所涉及场所的相关职业健康安全管理活动</w:t>
            </w:r>
          </w:p>
          <w:p>
            <w:pPr>
              <w:spacing w:line="240" w:lineRule="auto"/>
              <w:rPr>
                <w:sz w:val="20"/>
              </w:rPr>
            </w:pPr>
            <w:r>
              <w:rPr>
                <w:rFonts w:hint="eastAsia"/>
                <w:sz w:val="20"/>
              </w:rPr>
              <w:t>不适用条款：Q</w:t>
            </w:r>
            <w:r>
              <w:rPr>
                <w:sz w:val="20"/>
              </w:rPr>
              <w:t xml:space="preserve">8.3   </w:t>
            </w:r>
            <w:r>
              <w:rPr>
                <w:rFonts w:hint="eastAsia"/>
                <w:sz w:val="20"/>
              </w:rPr>
              <w:t>由于公司所有物业管理服务活动均按照国家或行业的相关规定及顾客要求实施，不存在设计和开发活动，故标准8.3“产品和服务的设计和开发”条款不适用本公司， 且不适用8.3条款不影响本组织确保所提供的产品和服务合格的能力或责任，对增强顾客满意也不会产生影响。</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QEO4.4</w:t>
            </w:r>
          </w:p>
          <w:p>
            <w:pPr>
              <w:spacing w:line="280" w:lineRule="exact"/>
            </w:pPr>
          </w:p>
        </w:tc>
        <w:tc>
          <w:tcPr>
            <w:tcW w:w="10642" w:type="dxa"/>
            <w:vAlign w:val="center"/>
          </w:tcPr>
          <w:p>
            <w:pPr>
              <w:spacing w:line="240" w:lineRule="auto"/>
              <w:ind w:firstLine="420" w:firstLineChars="200"/>
              <w:rPr>
                <w:rFonts w:ascii="宋体" w:hAnsi="宋体" w:cs="宋体"/>
                <w:szCs w:val="21"/>
              </w:rPr>
            </w:pPr>
            <w:r>
              <w:rPr>
                <w:rFonts w:hint="eastAsia" w:ascii="宋体" w:hAnsi="宋体" w:cs="宋体"/>
                <w:szCs w:val="21"/>
              </w:rPr>
              <w:t>该公司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对管理目标完成情况进行统计分析，出示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eastAsia="zh-CN"/>
              </w:rPr>
              <w:t>～</w:t>
            </w:r>
            <w:r>
              <w:rPr>
                <w:rFonts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2个季度</w:t>
            </w:r>
            <w:r>
              <w:rPr>
                <w:rFonts w:hint="eastAsia" w:ascii="宋体" w:hAnsi="宋体" w:cs="宋体"/>
                <w:szCs w:val="21"/>
              </w:rPr>
              <w:t>管理目标分解及完成情况记录。</w:t>
            </w:r>
          </w:p>
          <w:p>
            <w:pPr>
              <w:spacing w:line="24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40" w:lineRule="auto"/>
              <w:ind w:firstLine="420" w:firstLineChars="200"/>
            </w:pPr>
            <w:r>
              <w:rPr>
                <w:rFonts w:hint="eastAsia" w:ascii="宋体" w:hAnsi="宋体" w:cs="宋体"/>
                <w:szCs w:val="21"/>
              </w:rPr>
              <w:t>为能在公司范围内更好的应用质量/环境/职业健康安全管理体系及其过程方法，编制</w:t>
            </w:r>
            <w:r>
              <w:rPr>
                <w:rFonts w:hint="eastAsia" w:ascii="宋体" w:hAnsi="宋体" w:cs="宋体"/>
                <w:szCs w:val="21"/>
                <w:lang w:val="en-US" w:eastAsia="zh-CN"/>
              </w:rPr>
              <w:t>有</w:t>
            </w:r>
            <w:r>
              <w:rPr>
                <w:rFonts w:hint="eastAsia" w:ascii="宋体" w:hAnsi="宋体" w:cs="宋体"/>
                <w:szCs w:val="21"/>
              </w:rPr>
              <w:t>《管理手册》，作为公司质量管理的纲领性文件；编制</w:t>
            </w:r>
            <w:r>
              <w:rPr>
                <w:rFonts w:hint="eastAsia" w:ascii="宋体" w:hAnsi="宋体" w:cs="宋体"/>
                <w:szCs w:val="21"/>
                <w:lang w:val="en-US" w:eastAsia="zh-CN"/>
              </w:rPr>
              <w:t>有</w:t>
            </w:r>
            <w:r>
              <w:rPr>
                <w:rFonts w:hint="eastAsia" w:ascii="宋体" w:hAnsi="宋体" w:cs="宋体"/>
                <w:szCs w:val="21"/>
              </w:rPr>
              <w:t>《程序文件》，说明本公司内部质量/环境/职业健康安全体系运行的各过程及其之间的顺序和相互作用；编制各类支持性文件及记录表格等作为证明过程运行的证据。</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5.1</w:t>
            </w:r>
          </w:p>
          <w:p>
            <w:pPr>
              <w:spacing w:line="280" w:lineRule="exact"/>
            </w:pPr>
          </w:p>
        </w:tc>
        <w:tc>
          <w:tcPr>
            <w:tcW w:w="10642" w:type="dxa"/>
            <w:vAlign w:val="center"/>
          </w:tcPr>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公司</w:t>
            </w:r>
            <w:r>
              <w:rPr>
                <w:rFonts w:hint="eastAsia" w:ascii="宋体" w:hAnsi="宋体" w:eastAsia="宋体" w:cs="宋体"/>
                <w:szCs w:val="21"/>
                <w:lang w:val="en-US" w:eastAsia="zh-CN"/>
              </w:rPr>
              <w:t>最高管理者</w:t>
            </w:r>
            <w:r>
              <w:rPr>
                <w:rFonts w:hint="eastAsia" w:ascii="宋体" w:hAnsi="宋体" w:eastAsia="宋体" w:cs="宋体"/>
                <w:szCs w:val="21"/>
              </w:rPr>
              <w:t>介绍主要承诺有：</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a.建立公司管理方针，并确保方针与组织的战略方向保持一致以及方针在公司内得到理解和实施;</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b.在相关职能、层次、过程上建立公司管理目标，定期对目标的完成情况进行分析、总结以及改进，确保将管理体系要求纳入组织的业务运作以及实现管理体系预期的输出。</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c.建立公司培训系统，定期制定培训计划，提高全体员工的过程方法的意识，传达有效的体系管理以及满足管理体系、产品要求的重要性。</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d.建立合理的公司组织结构,确保管理体系所需资源能被获得;</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e.建立有效的沟通渠道,吸纳、指导和支持员工参与对公司管理体系的有效性作出贡献，增强体系持续改进和创新；</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f.管理岗位的任命，公司内部公开发布任命书，以支持其他管理者在其负责领域证实其领导作用。</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40" w:lineRule="auto"/>
            </w:pPr>
            <w:r>
              <w:rPr>
                <w:rFonts w:hint="eastAsia" w:ascii="宋体" w:hAnsi="宋体" w:eastAsia="宋体" w:cs="宋体"/>
                <w:szCs w:val="21"/>
              </w:rPr>
              <w:t>承诺基本实现，没有违反的情况发生。</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QEO5.2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该公司质量、环境、职业健康安全方针：</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全员参与, 守法经营，质量至上；</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预防污染，安全第一，持续改进。</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公司以质量、环境、职业健康安全标准为基础，结合公司实际特制定管理方针。与总经理进行交谈，</w:t>
            </w:r>
            <w:r>
              <w:rPr>
                <w:rFonts w:hint="eastAsia" w:ascii="宋体" w:hAnsi="宋体" w:cs="宋体"/>
                <w:szCs w:val="21"/>
                <w:lang w:eastAsia="zh-CN"/>
              </w:rPr>
              <w:t>总经理窦景阵</w:t>
            </w:r>
            <w:r>
              <w:rPr>
                <w:rFonts w:hint="eastAsia" w:ascii="宋体" w:hAnsi="宋体" w:eastAsia="宋体" w:cs="宋体"/>
                <w:szCs w:val="21"/>
              </w:rPr>
              <w:t>对方针内涵的理解较深刻。方针能为制定目标提供框架，方针基本符合标准的要求。</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总经理用会议、文件等手段保证管理方针为全体员工理解并落实到工作中。总经理说管理评审时对方针的持续适宜性进行了评审，有评审记录。</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以上管理方针通过文件、培训等形式将公司</w:t>
            </w:r>
          </w:p>
          <w:p>
            <w:pPr>
              <w:spacing w:line="240" w:lineRule="auto"/>
              <w:ind w:firstLine="420" w:firstLineChars="200"/>
              <w:rPr>
                <w:rFonts w:ascii="宋体" w:hAnsi="宋体" w:cs="宋体"/>
                <w:szCs w:val="21"/>
              </w:rPr>
            </w:pPr>
            <w:r>
              <w:rPr>
                <w:rFonts w:hint="eastAsia" w:ascii="宋体" w:hAnsi="宋体" w:eastAsia="宋体" w:cs="宋体"/>
                <w:szCs w:val="21"/>
              </w:rPr>
              <w:t>管理方针传达给所有为公司工作或代表公司的人员，相关方也可通过</w:t>
            </w:r>
            <w:r>
              <w:rPr>
                <w:rFonts w:hint="eastAsia" w:ascii="宋体" w:hAnsi="宋体" w:cs="宋体"/>
                <w:szCs w:val="21"/>
                <w:lang w:eastAsia="zh-CN"/>
              </w:rPr>
              <w:t>行政部</w:t>
            </w:r>
            <w:r>
              <w:rPr>
                <w:rFonts w:hint="eastAsia" w:ascii="宋体" w:hAnsi="宋体" w:eastAsia="宋体" w:cs="宋体"/>
                <w:szCs w:val="21"/>
              </w:rPr>
              <w:t>获取公司管理方针。</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pPr>
          </w:p>
        </w:tc>
        <w:tc>
          <w:tcPr>
            <w:tcW w:w="10642" w:type="dxa"/>
            <w:vAlign w:val="center"/>
          </w:tcPr>
          <w:p>
            <w:pPr>
              <w:spacing w:line="240" w:lineRule="auto"/>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任命</w:t>
            </w:r>
            <w:r>
              <w:rPr>
                <w:rFonts w:hint="eastAsia"/>
                <w:lang w:val="en-US" w:eastAsia="zh-CN"/>
              </w:rPr>
              <w:t>张林飞</w:t>
            </w:r>
            <w:r>
              <w:rPr>
                <w:rFonts w:hint="eastAsia"/>
              </w:rPr>
              <w:t>为管理体系的管理者代表。其职责和权限规定如下：</w:t>
            </w:r>
          </w:p>
          <w:p>
            <w:pPr>
              <w:spacing w:line="240" w:lineRule="auto"/>
              <w:ind w:firstLine="420" w:firstLineChars="200"/>
              <w:rPr>
                <w:rFonts w:hint="eastAsia"/>
              </w:rPr>
            </w:pPr>
            <w:r>
              <w:rPr>
                <w:rFonts w:hint="eastAsia"/>
              </w:rPr>
              <w:t>1.确保按照GB/T19001-2016/ISO9001:2015及GB/T45001-2020/ISO45001:2018标准建立、实施和维持质量及职业健康安全管理体系。</w:t>
            </w:r>
          </w:p>
          <w:p>
            <w:pPr>
              <w:spacing w:line="240" w:lineRule="auto"/>
              <w:ind w:firstLine="420" w:firstLineChars="200"/>
              <w:rPr>
                <w:rFonts w:hint="eastAsia"/>
              </w:rPr>
            </w:pPr>
            <w:r>
              <w:rPr>
                <w:rFonts w:hint="eastAsia"/>
              </w:rPr>
              <w:t>2.定期向最高管理者汇报质量及职业健康安全管理体系运作情况，包括改进需求。</w:t>
            </w:r>
          </w:p>
          <w:p>
            <w:pPr>
              <w:spacing w:line="240" w:lineRule="auto"/>
              <w:ind w:firstLine="420" w:firstLineChars="200"/>
              <w:rPr>
                <w:rFonts w:hint="eastAsia"/>
              </w:rPr>
            </w:pPr>
            <w:r>
              <w:rPr>
                <w:rFonts w:hint="eastAsia"/>
              </w:rPr>
              <w:t>3.在公司整个体系内提升对客户要求的认识。</w:t>
            </w:r>
          </w:p>
          <w:p>
            <w:pPr>
              <w:spacing w:line="240" w:lineRule="auto"/>
              <w:ind w:firstLine="420" w:firstLineChars="200"/>
              <w:rPr>
                <w:rFonts w:hint="eastAsia"/>
              </w:rPr>
            </w:pPr>
            <w:r>
              <w:rPr>
                <w:rFonts w:hint="eastAsia"/>
              </w:rPr>
              <w:t>4.负责质量及职业健康安全管理体系的有关事项对外联络和内部沟通工作。</w:t>
            </w:r>
          </w:p>
          <w:p>
            <w:pPr>
              <w:spacing w:line="240" w:lineRule="auto"/>
              <w:ind w:firstLine="420" w:firstLineChars="200"/>
              <w:rPr>
                <w:rFonts w:hint="eastAsia"/>
              </w:rPr>
            </w:pPr>
            <w:r>
              <w:rPr>
                <w:rFonts w:hint="eastAsia"/>
              </w:rPr>
              <w:t>5.确保在策划和实施质量及职业健康安全管理体系变更时保持其完整性。</w:t>
            </w:r>
          </w:p>
          <w:p>
            <w:pPr>
              <w:spacing w:line="240" w:lineRule="auto"/>
              <w:ind w:firstLine="420" w:firstLineChars="200"/>
              <w:rPr>
                <w:rFonts w:hint="eastAsia"/>
              </w:rPr>
            </w:pPr>
            <w:r>
              <w:rPr>
                <w:rFonts w:hint="eastAsia"/>
              </w:rPr>
              <w:t>6.确保各过程获得其预期输出；</w:t>
            </w:r>
          </w:p>
          <w:p>
            <w:pPr>
              <w:spacing w:line="240" w:lineRule="auto"/>
              <w:ind w:firstLine="420" w:firstLineChars="200"/>
              <w:rPr>
                <w:rFonts w:hint="eastAsia"/>
              </w:rPr>
            </w:pPr>
            <w:r>
              <w:rPr>
                <w:rFonts w:hint="eastAsia"/>
              </w:rPr>
              <w:t>7.确定企业面临的风险和机遇，并制定应对措施。</w:t>
            </w:r>
          </w:p>
          <w:p>
            <w:pPr>
              <w:spacing w:line="240" w:lineRule="auto"/>
              <w:ind w:firstLine="420" w:firstLineChars="200"/>
              <w:rPr>
                <w:bCs w:val="0"/>
                <w:spacing w:val="0"/>
              </w:rPr>
            </w:pPr>
            <w:r>
              <w:rPr>
                <w:rFonts w:hint="eastAsia"/>
              </w:rPr>
              <w:t>询问管代</w:t>
            </w:r>
            <w:r>
              <w:rPr>
                <w:rFonts w:hint="eastAsia"/>
                <w:lang w:val="en-US" w:eastAsia="zh-CN"/>
              </w:rPr>
              <w:t>张林飞</w:t>
            </w:r>
            <w:r>
              <w:rPr>
                <w:rFonts w:hint="eastAsia"/>
              </w:rPr>
              <w:t>职责回答正确。</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40" w:lineRule="auto"/>
            </w:pPr>
            <w:r>
              <w:rPr>
                <w:rFonts w:hint="eastAsia"/>
                <w:lang w:val="en-US" w:eastAsia="zh-CN"/>
              </w:rPr>
              <w:t>编制有</w:t>
            </w:r>
            <w:r>
              <w:rPr>
                <w:rFonts w:hint="eastAsia" w:ascii="宋体" w:hAnsi="宋体" w:cs="宋体"/>
                <w:lang w:eastAsia="zh-CN"/>
              </w:rPr>
              <w:t>YWWY</w:t>
            </w:r>
            <w:r>
              <w:rPr>
                <w:rFonts w:hint="eastAsia" w:ascii="宋体" w:hAnsi="宋体" w:cs="宋体"/>
              </w:rPr>
              <w:t>-CX-01</w:t>
            </w:r>
            <w:r>
              <w:rPr>
                <w:rFonts w:hint="eastAsia"/>
                <w:lang w:val="en-US" w:eastAsia="zh-CN"/>
              </w:rPr>
              <w:t>《风险和机遇控制程序》，提供有《</w:t>
            </w:r>
            <w:r>
              <w:rPr>
                <w:rFonts w:hint="eastAsia"/>
              </w:rPr>
              <w:t>管理体系风险与机遇管理一览表</w:t>
            </w:r>
            <w:r>
              <w:rPr>
                <w:rFonts w:hint="eastAsia"/>
                <w:lang w:eastAsia="zh-CN"/>
              </w:rPr>
              <w:t>》，</w:t>
            </w:r>
            <w:r>
              <w:rPr>
                <w:rFonts w:hint="eastAsia"/>
              </w:rPr>
              <w:t>企业识别了如下分析：</w:t>
            </w:r>
          </w:p>
          <w:p>
            <w:pPr>
              <w:spacing w:line="240" w:lineRule="auto"/>
            </w:pPr>
            <w:r>
              <w:rPr>
                <w:rFonts w:hint="eastAsia"/>
              </w:rPr>
              <w:t>1、政策风险：公司有产业和政策调整的风险</w:t>
            </w:r>
            <w:r>
              <w:rPr>
                <w:rFonts w:hint="eastAsia"/>
                <w:lang w:eastAsia="zh-CN"/>
              </w:rPr>
              <w:t>，</w:t>
            </w:r>
            <w:r>
              <w:rPr>
                <w:rFonts w:hint="eastAsia"/>
              </w:rPr>
              <w:t>为了防止未来有可能发生改变的政策，企业拟在其它类型的工作业务扩大做准备。</w:t>
            </w:r>
          </w:p>
          <w:p>
            <w:pPr>
              <w:spacing w:line="240" w:lineRule="auto"/>
            </w:pPr>
            <w:r>
              <w:rPr>
                <w:rFonts w:hint="eastAsia"/>
              </w:rPr>
              <w:t>2、资金风险：人工成本不断提高，是对资金风险的考验，但不会是关键风险。</w:t>
            </w:r>
          </w:p>
          <w:p>
            <w:pPr>
              <w:spacing w:line="240" w:lineRule="auto"/>
            </w:pPr>
            <w:r>
              <w:rPr>
                <w:rFonts w:hint="eastAsia"/>
              </w:rPr>
              <w:t>3、技术风险：公司拟招聘经验丰富的技术服务人员，并不断组织人员到同行优秀企业学习，加大服务及后期作业工作能力的提升，不断提高我企业的行业竞争能力，规避相关技术风险。</w:t>
            </w:r>
          </w:p>
          <w:p>
            <w:pPr>
              <w:spacing w:line="240" w:lineRule="auto"/>
            </w:pPr>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w:t>
            </w:r>
            <w:r>
              <w:rPr>
                <w:rFonts w:hint="eastAsia"/>
                <w:lang w:eastAsia="zh-CN"/>
              </w:rPr>
              <w:t>行政部</w:t>
            </w:r>
            <w:r>
              <w:rPr>
                <w:rFonts w:hint="eastAsia"/>
              </w:rPr>
              <w:t>负责管理人员的登记造册、技能培训、人员招聘等，并加大培训力度多方储备人才，防止因人员的流失而造成工作的停滞，造成损失。</w:t>
            </w:r>
          </w:p>
          <w:p>
            <w:pPr>
              <w:spacing w:line="240" w:lineRule="auto"/>
              <w:rPr>
                <w:rFonts w:hint="eastAsia" w:eastAsia="宋体"/>
                <w:lang w:eastAsia="zh-CN"/>
              </w:rPr>
            </w:pPr>
            <w:r>
              <w:rPr>
                <w:rFonts w:hint="eastAsia"/>
              </w:rPr>
              <w:t>5、来自市场的风险</w:t>
            </w:r>
            <w:r>
              <w:rPr>
                <w:rFonts w:hint="eastAsia"/>
                <w:lang w:eastAsia="zh-CN"/>
              </w:rPr>
              <w:t>：</w:t>
            </w:r>
            <w:r>
              <w:rPr>
                <w:rFonts w:hint="eastAsia"/>
              </w:rPr>
              <w:t>市场中同行也多，而且同行大都是知名企业，竞争压力大</w:t>
            </w:r>
            <w:r>
              <w:rPr>
                <w:rFonts w:hint="eastAsia"/>
                <w:lang w:eastAsia="zh-CN"/>
              </w:rPr>
              <w:t>。</w:t>
            </w:r>
          </w:p>
          <w:p>
            <w:pPr>
              <w:spacing w:line="240" w:lineRule="auto"/>
            </w:pPr>
            <w:r>
              <w:rPr>
                <w:rFonts w:hint="eastAsia"/>
              </w:rPr>
              <w:t>风险评估结论：对于以上涉及到的主要风险，一旦发生，均可能对公司的发展造成巨大损失，所以我们应时刻监视并评价相关环境因素，尽可能的规避风险或降低发生概率。</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EO6.1.4</w:t>
            </w:r>
          </w:p>
          <w:p>
            <w:pPr>
              <w:spacing w:line="280" w:lineRule="exact"/>
            </w:pPr>
          </w:p>
        </w:tc>
        <w:tc>
          <w:tcPr>
            <w:tcW w:w="10642" w:type="dxa"/>
            <w:vAlign w:val="center"/>
          </w:tcPr>
          <w:p>
            <w:pPr>
              <w:pStyle w:val="11"/>
              <w:spacing w:line="240" w:lineRule="auto"/>
            </w:pPr>
            <w:r>
              <w:rPr>
                <w:rFonts w:hint="eastAsia"/>
              </w:rPr>
              <w:t>企业制定了如下措施：</w:t>
            </w:r>
          </w:p>
          <w:p>
            <w:pPr>
              <w:pStyle w:val="18"/>
              <w:numPr>
                <w:ilvl w:val="0"/>
                <w:numId w:val="1"/>
              </w:numPr>
              <w:spacing w:line="240" w:lineRule="auto"/>
              <w:ind w:left="-338" w:leftChars="0" w:firstLine="460"/>
              <w:jc w:val="left"/>
              <w:rPr>
                <w:bCs/>
                <w:spacing w:val="10"/>
              </w:rPr>
            </w:pPr>
            <w:r>
              <w:rPr>
                <w:rFonts w:hint="eastAsia"/>
                <w:bCs/>
                <w:spacing w:val="10"/>
              </w:rPr>
              <w:t>针对政策风险，公司时刻关注政策的走向，在符合政策的同时对公司进行开展运作。</w:t>
            </w:r>
          </w:p>
          <w:p>
            <w:pPr>
              <w:pStyle w:val="18"/>
              <w:numPr>
                <w:ilvl w:val="0"/>
                <w:numId w:val="1"/>
              </w:numPr>
              <w:spacing w:line="240" w:lineRule="auto"/>
              <w:ind w:left="-338" w:leftChars="0" w:firstLine="460"/>
              <w:jc w:val="left"/>
              <w:rPr>
                <w:bCs/>
                <w:spacing w:val="10"/>
              </w:rPr>
            </w:pPr>
            <w:r>
              <w:rPr>
                <w:rFonts w:hint="eastAsia"/>
                <w:bCs/>
                <w:spacing w:val="10"/>
              </w:rPr>
              <w:t>资金风险，公司建立一定得预备资金，防止一时的资金断裂对公司运行造成重大影响。</w:t>
            </w:r>
          </w:p>
          <w:p>
            <w:pPr>
              <w:pStyle w:val="18"/>
              <w:numPr>
                <w:ilvl w:val="0"/>
                <w:numId w:val="1"/>
              </w:numPr>
              <w:spacing w:line="240" w:lineRule="auto"/>
              <w:ind w:left="-338" w:leftChars="0" w:firstLine="460"/>
              <w:jc w:val="left"/>
              <w:rPr>
                <w:bCs/>
                <w:spacing w:val="10"/>
              </w:rPr>
            </w:pPr>
            <w:r>
              <w:rPr>
                <w:bCs/>
                <w:spacing w:val="10"/>
              </w:rPr>
              <w:t>技术风险的应对</w:t>
            </w:r>
            <w:r>
              <w:rPr>
                <w:rFonts w:hint="eastAsia"/>
                <w:bCs/>
                <w:spacing w:val="10"/>
              </w:rPr>
              <w:t>，</w:t>
            </w:r>
            <w:r>
              <w:rPr>
                <w:bCs/>
                <w:spacing w:val="10"/>
              </w:rPr>
              <w:t>定期进行人员培训及技术考核</w:t>
            </w:r>
            <w:r>
              <w:rPr>
                <w:rFonts w:hint="eastAsia"/>
                <w:bCs/>
                <w:spacing w:val="10"/>
              </w:rPr>
              <w:t>，</w:t>
            </w:r>
            <w:r>
              <w:rPr>
                <w:bCs/>
                <w:spacing w:val="10"/>
              </w:rPr>
              <w:t>公司做到公平公正的政策</w:t>
            </w:r>
            <w:r>
              <w:rPr>
                <w:rFonts w:hint="eastAsia"/>
                <w:bCs/>
                <w:spacing w:val="10"/>
              </w:rPr>
              <w:t>，</w:t>
            </w:r>
            <w:r>
              <w:rPr>
                <w:bCs/>
                <w:spacing w:val="10"/>
              </w:rPr>
              <w:t>引进适者生存的模式</w:t>
            </w:r>
            <w:r>
              <w:rPr>
                <w:rFonts w:hint="eastAsia"/>
                <w:bCs/>
                <w:spacing w:val="10"/>
              </w:rPr>
              <w:t>，</w:t>
            </w:r>
            <w:r>
              <w:rPr>
                <w:bCs/>
                <w:spacing w:val="10"/>
              </w:rPr>
              <w:t>对于不适宜的人员先进行调岗</w:t>
            </w:r>
            <w:r>
              <w:rPr>
                <w:rFonts w:hint="eastAsia"/>
                <w:bCs/>
                <w:spacing w:val="10"/>
              </w:rPr>
              <w:t>，</w:t>
            </w:r>
            <w:r>
              <w:rPr>
                <w:bCs/>
                <w:spacing w:val="10"/>
              </w:rPr>
              <w:t>如不能满足要求</w:t>
            </w:r>
            <w:r>
              <w:rPr>
                <w:rFonts w:hint="eastAsia"/>
                <w:bCs/>
                <w:spacing w:val="10"/>
              </w:rPr>
              <w:t>，</w:t>
            </w:r>
            <w:r>
              <w:rPr>
                <w:bCs/>
                <w:spacing w:val="10"/>
              </w:rPr>
              <w:t>再进行淘汰</w:t>
            </w:r>
            <w:r>
              <w:rPr>
                <w:rFonts w:hint="eastAsia"/>
                <w:bCs/>
                <w:spacing w:val="10"/>
              </w:rPr>
              <w:t>。</w:t>
            </w:r>
          </w:p>
          <w:p>
            <w:pPr>
              <w:pStyle w:val="18"/>
              <w:numPr>
                <w:ilvl w:val="0"/>
                <w:numId w:val="1"/>
              </w:numPr>
              <w:spacing w:line="240" w:lineRule="auto"/>
              <w:ind w:left="-338" w:leftChars="0" w:firstLine="460"/>
              <w:jc w:val="left"/>
            </w:pPr>
            <w:r>
              <w:rPr>
                <w:rFonts w:hint="eastAsia"/>
                <w:bCs/>
                <w:spacing w:val="10"/>
              </w:rPr>
              <w:t>管理及市场风险的应对，加强公司团队的建设，争取公司的竞争力度，积极开拓市场业务，必要时增加公司的资质，例如进行管理体系的认证。</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642" w:type="dxa"/>
            <w:vAlign w:val="center"/>
          </w:tcPr>
          <w:p>
            <w:pPr>
              <w:spacing w:line="240" w:lineRule="auto"/>
              <w:ind w:firstLine="420" w:firstLineChars="200"/>
            </w:pPr>
            <w:r>
              <w:rPr>
                <w:rFonts w:hint="eastAsia"/>
              </w:rPr>
              <w:t>公司对管理体系所需的相关职能、层次和过程设定管理目标。</w:t>
            </w:r>
          </w:p>
          <w:p>
            <w:pPr>
              <w:spacing w:line="240" w:lineRule="auto"/>
              <w:ind w:firstLine="420" w:firstLineChars="200"/>
            </w:pPr>
            <w:r>
              <w:rPr>
                <w:rFonts w:hint="eastAsia"/>
              </w:rPr>
              <w:t>公司管理目标是：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1386"/>
              <w:gridCol w:w="3564"/>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4" w:type="dxa"/>
                </w:tcPr>
                <w:p>
                  <w:pPr>
                    <w:widowControl/>
                    <w:spacing w:before="40"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目标</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考核频次</w:t>
                  </w:r>
                </w:p>
              </w:tc>
              <w:tc>
                <w:tcPr>
                  <w:tcW w:w="3564" w:type="dxa"/>
                </w:tcPr>
                <w:p>
                  <w:pPr>
                    <w:widowControl/>
                    <w:spacing w:before="40"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计算方法</w:t>
                  </w:r>
                </w:p>
              </w:tc>
              <w:tc>
                <w:tcPr>
                  <w:tcW w:w="2049" w:type="dxa"/>
                </w:tcPr>
                <w:p>
                  <w:pPr>
                    <w:widowControl/>
                    <w:spacing w:before="40"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完成情况（</w:t>
                  </w:r>
                  <w:r>
                    <w:rPr>
                      <w:rFonts w:hint="eastAsia" w:asciiTheme="minorEastAsia" w:hAnsiTheme="minorEastAsia" w:eastAsiaTheme="minorEastAsia" w:cstheme="minorEastAsia"/>
                      <w:color w:val="000000"/>
                      <w:sz w:val="21"/>
                      <w:szCs w:val="21"/>
                      <w:lang w:val="en-US" w:eastAsia="zh-CN"/>
                    </w:rPr>
                    <w:t>2021.6-2021.9</w:t>
                  </w: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服务质量合格率100%</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lang w:val="en-US" w:eastAsia="zh-CN"/>
                    </w:rPr>
                    <w:t>每3个</w:t>
                  </w:r>
                  <w:r>
                    <w:rPr>
                      <w:rFonts w:hint="eastAsia" w:asciiTheme="minorEastAsia" w:hAnsiTheme="minorEastAsia" w:eastAsiaTheme="minorEastAsia" w:cstheme="minorEastAsia"/>
                      <w:sz w:val="21"/>
                      <w:szCs w:val="21"/>
                    </w:rPr>
                    <w:t>月</w:t>
                  </w:r>
                </w:p>
              </w:tc>
              <w:tc>
                <w:tcPr>
                  <w:tcW w:w="3564" w:type="dxa"/>
                  <w:vAlign w:val="center"/>
                </w:tcPr>
                <w:p>
                  <w:pPr>
                    <w:pStyle w:val="20"/>
                    <w:jc w:val="left"/>
                    <w:rPr>
                      <w:rFonts w:hint="eastAsia" w:asciiTheme="minorEastAsia" w:hAnsiTheme="minorEastAsia" w:eastAsiaTheme="minorEastAsia" w:cstheme="minorEastAsia"/>
                      <w:color w:val="000000"/>
                      <w:sz w:val="21"/>
                      <w:szCs w:val="21"/>
                      <w:highlight w:val="cyan"/>
                    </w:rPr>
                  </w:pPr>
                  <w:r>
                    <w:rPr>
                      <w:rFonts w:hint="eastAsia" w:ascii="宋体" w:hAnsi="宋体" w:cs="宋体"/>
                      <w:szCs w:val="21"/>
                    </w:rPr>
                    <w:t>服务合格数÷总数x100%</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宋体" w:hAnsi="宋体" w:cs="宋体"/>
                      <w:szCs w:val="21"/>
                    </w:rPr>
                    <w:t>顾客满意率≥95%</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lang w:val="en-US" w:eastAsia="zh-CN"/>
                    </w:rPr>
                    <w:t>每3个</w:t>
                  </w:r>
                  <w:r>
                    <w:rPr>
                      <w:rFonts w:hint="eastAsia" w:asciiTheme="minorEastAsia" w:hAnsiTheme="minorEastAsia" w:eastAsiaTheme="minorEastAsia" w:cstheme="minorEastAsia"/>
                      <w:sz w:val="21"/>
                      <w:szCs w:val="21"/>
                    </w:rPr>
                    <w:t>月</w:t>
                  </w:r>
                </w:p>
              </w:tc>
              <w:tc>
                <w:tcPr>
                  <w:tcW w:w="3564" w:type="dxa"/>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i w:val="0"/>
                      <w:color w:val="auto"/>
                      <w:kern w:val="0"/>
                      <w:sz w:val="21"/>
                      <w:szCs w:val="21"/>
                      <w:u w:val="none"/>
                      <w:lang w:val="en-US" w:eastAsia="zh-CN" w:bidi="ar"/>
                    </w:rPr>
                    <w:t>满意顾客数÷顾客总数x100%</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宋体" w:hAnsi="宋体" w:cs="宋体"/>
                      <w:szCs w:val="21"/>
                    </w:rPr>
                    <w:t>环境污染事故发生次数为0</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lang w:val="en-US" w:eastAsia="zh-CN"/>
                    </w:rPr>
                    <w:t>每3个</w:t>
                  </w:r>
                  <w:r>
                    <w:rPr>
                      <w:rFonts w:hint="eastAsia" w:asciiTheme="minorEastAsia" w:hAnsiTheme="minorEastAsia" w:eastAsiaTheme="minorEastAsia" w:cstheme="minorEastAsia"/>
                      <w:sz w:val="21"/>
                      <w:szCs w:val="21"/>
                    </w:rPr>
                    <w:t>月</w:t>
                  </w:r>
                </w:p>
              </w:tc>
              <w:tc>
                <w:tcPr>
                  <w:tcW w:w="3564"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color w:val="auto"/>
                      <w:kern w:val="0"/>
                      <w:sz w:val="21"/>
                      <w:szCs w:val="21"/>
                      <w:u w:val="none"/>
                      <w:lang w:val="en-US" w:eastAsia="zh-CN" w:bidi="ar"/>
                    </w:rPr>
                    <w:t>污染事故发生次数</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宋体" w:hAnsi="宋体" w:cs="宋体"/>
                      <w:szCs w:val="21"/>
                    </w:rPr>
                    <w:t>固体废弃物分类处置率100%</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lang w:val="en-US" w:eastAsia="zh-CN"/>
                    </w:rPr>
                    <w:t>每3个</w:t>
                  </w:r>
                  <w:r>
                    <w:rPr>
                      <w:rFonts w:hint="eastAsia" w:asciiTheme="minorEastAsia" w:hAnsiTheme="minorEastAsia" w:eastAsiaTheme="minorEastAsia" w:cstheme="minorEastAsia"/>
                      <w:sz w:val="21"/>
                      <w:szCs w:val="21"/>
                    </w:rPr>
                    <w:t>月</w:t>
                  </w:r>
                </w:p>
              </w:tc>
              <w:tc>
                <w:tcPr>
                  <w:tcW w:w="3564" w:type="dxa"/>
                  <w:vAlign w:val="center"/>
                </w:tcPr>
                <w:p>
                  <w:pPr>
                    <w:widowControl/>
                    <w:numPr>
                      <w:ilvl w:val="0"/>
                      <w:numId w:val="0"/>
                    </w:numPr>
                    <w:ind w:left="0" w:leftChars="0" w:firstLine="0" w:firstLineChars="0"/>
                    <w:jc w:val="left"/>
                    <w:rPr>
                      <w:rFonts w:hint="eastAsia" w:asciiTheme="minorEastAsia" w:hAnsiTheme="minorEastAsia" w:eastAsiaTheme="minorEastAsia" w:cstheme="minorEastAsia"/>
                      <w:color w:val="000000"/>
                      <w:sz w:val="21"/>
                      <w:szCs w:val="21"/>
                      <w:highlight w:val="cyan"/>
                    </w:rPr>
                  </w:pPr>
                  <w:r>
                    <w:rPr>
                      <w:rFonts w:hint="eastAsia" w:ascii="宋体" w:hAnsi="宋体" w:cs="宋体"/>
                      <w:color w:val="auto"/>
                      <w:kern w:val="0"/>
                      <w:sz w:val="21"/>
                      <w:szCs w:val="21"/>
                    </w:rPr>
                    <w:t>固废分类处理数÷固废总数x100%</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lang w:eastAsia="zh-CN"/>
                    </w:rPr>
                  </w:pPr>
                  <w:r>
                    <w:rPr>
                      <w:rFonts w:hint="eastAsia" w:ascii="宋体" w:hAnsi="宋体" w:cs="宋体"/>
                      <w:szCs w:val="21"/>
                    </w:rPr>
                    <w:t>火灾事故发生次数为0</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lang w:val="en-US" w:eastAsia="zh-CN"/>
                    </w:rPr>
                    <w:t>每3个</w:t>
                  </w:r>
                  <w:r>
                    <w:rPr>
                      <w:rFonts w:hint="eastAsia" w:asciiTheme="minorEastAsia" w:hAnsiTheme="minorEastAsia" w:eastAsiaTheme="minorEastAsia" w:cstheme="minorEastAsia"/>
                      <w:sz w:val="21"/>
                      <w:szCs w:val="21"/>
                    </w:rPr>
                    <w:t>月</w:t>
                  </w:r>
                </w:p>
              </w:tc>
              <w:tc>
                <w:tcPr>
                  <w:tcW w:w="3564" w:type="dxa"/>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color w:val="auto"/>
                      <w:kern w:val="0"/>
                      <w:sz w:val="21"/>
                      <w:szCs w:val="21"/>
                      <w:u w:val="none"/>
                      <w:lang w:val="en-US" w:eastAsia="zh-CN" w:bidi="ar"/>
                    </w:rPr>
                    <w:t>火灾事故发生次数</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宋体" w:hAnsi="宋体" w:cs="宋体"/>
                      <w:szCs w:val="21"/>
                    </w:rPr>
                    <w:t>意外伤害事故发生次数为0</w:t>
                  </w:r>
                </w:p>
              </w:tc>
              <w:tc>
                <w:tcPr>
                  <w:tcW w:w="1386" w:type="dxa"/>
                </w:tcPr>
                <w:p>
                  <w:pPr>
                    <w:widowControl/>
                    <w:spacing w:before="40"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每3个</w:t>
                  </w:r>
                  <w:r>
                    <w:rPr>
                      <w:rFonts w:hint="eastAsia" w:asciiTheme="minorEastAsia" w:hAnsiTheme="minorEastAsia" w:eastAsiaTheme="minorEastAsia" w:cstheme="minorEastAsia"/>
                      <w:sz w:val="21"/>
                      <w:szCs w:val="21"/>
                    </w:rPr>
                    <w:t>月</w:t>
                  </w:r>
                </w:p>
              </w:tc>
              <w:tc>
                <w:tcPr>
                  <w:tcW w:w="3564" w:type="dxa"/>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sz w:val="21"/>
                      <w:szCs w:val="21"/>
                    </w:rPr>
                  </w:pPr>
                  <w:r>
                    <w:rPr>
                      <w:rFonts w:hint="eastAsia" w:ascii="宋体" w:hAnsi="宋体" w:cs="宋体"/>
                      <w:color w:val="000000"/>
                      <w:kern w:val="0"/>
                      <w:szCs w:val="21"/>
                    </w:rPr>
                    <w:t>意外伤害事故发生次数</w:t>
                  </w:r>
                </w:p>
              </w:tc>
              <w:tc>
                <w:tcPr>
                  <w:tcW w:w="2049" w:type="dxa"/>
                </w:tcPr>
                <w:p>
                  <w:pPr>
                    <w:widowControl/>
                    <w:spacing w:before="40" w:line="240" w:lineRule="auto"/>
                    <w:jc w:val="left"/>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r>
          </w:tbl>
          <w:p>
            <w:pPr>
              <w:spacing w:line="240" w:lineRule="auto"/>
              <w:ind w:firstLine="420" w:firstLineChars="200"/>
            </w:pPr>
            <w:r>
              <w:rPr>
                <w:rFonts w:hint="eastAsia"/>
              </w:rPr>
              <w:t>目标可测量，与公司管理方针一致。</w:t>
            </w:r>
          </w:p>
          <w:p>
            <w:pPr>
              <w:spacing w:line="240" w:lineRule="auto"/>
            </w:pPr>
            <w:r>
              <w:rPr>
                <w:rFonts w:hint="eastAsia"/>
              </w:rPr>
              <w:t>每年由</w:t>
            </w:r>
            <w:r>
              <w:rPr>
                <w:rFonts w:hint="eastAsia"/>
                <w:lang w:val="en-US" w:eastAsia="zh-CN"/>
              </w:rPr>
              <w:t>行政</w:t>
            </w:r>
            <w:r>
              <w:rPr>
                <w:rFonts w:hint="eastAsia"/>
              </w:rPr>
              <w:t>部按公司管理目标考核要求统计考核公司管理目标完成情况，提交管理评审会议。</w:t>
            </w:r>
          </w:p>
          <w:p>
            <w:pPr>
              <w:spacing w:line="240" w:lineRule="auto"/>
              <w:ind w:firstLine="420" w:firstLineChars="200"/>
            </w:pPr>
            <w:r>
              <w:rPr>
                <w:rFonts w:hint="eastAsia"/>
              </w:rPr>
              <w:t>针对重要环境因素、不可接受风险制订了管理方案并予以实施，基本有效，详见</w:t>
            </w:r>
            <w:r>
              <w:rPr>
                <w:rFonts w:hint="eastAsia"/>
                <w:lang w:eastAsia="zh-CN"/>
              </w:rPr>
              <w:t>行政部</w:t>
            </w:r>
            <w:r>
              <w:rPr>
                <w:rFonts w:hint="eastAsia"/>
              </w:rPr>
              <w:t>该条款审核记录。</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11"/>
            </w:pPr>
          </w:p>
        </w:tc>
        <w:tc>
          <w:tcPr>
            <w:tcW w:w="10642" w:type="dxa"/>
            <w:vAlign w:val="center"/>
          </w:tcPr>
          <w:p>
            <w:pPr>
              <w:autoSpaceDE w:val="0"/>
              <w:autoSpaceDN w:val="0"/>
              <w:adjustRightInd w:val="0"/>
              <w:spacing w:line="240" w:lineRule="auto"/>
              <w:ind w:firstLine="48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40" w:lineRule="auto"/>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rFonts w:hint="eastAsia"/>
                <w:szCs w:val="21"/>
                <w:lang w:val="en-US" w:eastAsia="zh-CN"/>
              </w:rPr>
            </w:pPr>
            <w:r>
              <w:rPr>
                <w:rFonts w:hint="eastAsia"/>
                <w:szCs w:val="21"/>
              </w:rPr>
              <w:t>Q</w:t>
            </w:r>
            <w:r>
              <w:rPr>
                <w:rFonts w:hint="eastAsia"/>
                <w:szCs w:val="21"/>
                <w:lang w:val="en-US" w:eastAsia="zh-CN"/>
              </w:rPr>
              <w:t>7.1.1</w:t>
            </w:r>
          </w:p>
          <w:p>
            <w:pPr>
              <w:spacing w:line="280" w:lineRule="exact"/>
              <w:rPr>
                <w:szCs w:val="21"/>
              </w:rPr>
            </w:pPr>
            <w:r>
              <w:rPr>
                <w:rFonts w:hint="eastAsia"/>
                <w:szCs w:val="21"/>
              </w:rPr>
              <w:t>EO7.1</w:t>
            </w:r>
          </w:p>
          <w:p>
            <w:pPr>
              <w:spacing w:line="280" w:lineRule="exact"/>
            </w:pPr>
          </w:p>
        </w:tc>
        <w:tc>
          <w:tcPr>
            <w:tcW w:w="10642" w:type="dxa"/>
            <w:vAlign w:val="center"/>
          </w:tcPr>
          <w:p>
            <w:pPr>
              <w:spacing w:line="240" w:lineRule="auto"/>
            </w:pPr>
            <w:r>
              <w:rPr>
                <w:rFonts w:hint="eastAsia"/>
              </w:rPr>
              <w:t>查公司配备了必要的人力资源，基础设施，规范文件、资金等必要的资源，能够持续满足顾客需求和管理体系改进的需要。</w:t>
            </w:r>
          </w:p>
          <w:p>
            <w:pPr>
              <w:spacing w:line="240" w:lineRule="auto"/>
            </w:pPr>
            <w:r>
              <w:rPr>
                <w:rFonts w:hint="eastAsia" w:ascii="宋体" w:hAnsi="宋体" w:cs="宋体"/>
                <w:szCs w:val="21"/>
              </w:rPr>
              <w:t>部门：</w:t>
            </w:r>
            <w:r>
              <w:rPr>
                <w:rFonts w:hint="eastAsia" w:ascii="宋体" w:hAnsi="宋体" w:cs="宋体"/>
                <w:szCs w:val="21"/>
                <w:lang w:eastAsia="zh-CN"/>
              </w:rPr>
              <w:t>行政部</w:t>
            </w:r>
            <w:r>
              <w:rPr>
                <w:rFonts w:hint="eastAsia" w:ascii="宋体" w:hAnsi="宋体" w:cs="宋体"/>
                <w:szCs w:val="21"/>
              </w:rPr>
              <w:t>、</w:t>
            </w:r>
            <w:r>
              <w:rPr>
                <w:rFonts w:hint="eastAsia" w:ascii="宋体" w:hAnsi="宋体" w:cs="宋体"/>
                <w:szCs w:val="21"/>
                <w:lang w:val="en-US" w:eastAsia="zh-CN"/>
              </w:rPr>
              <w:t>项目部</w:t>
            </w:r>
            <w:r>
              <w:rPr>
                <w:rFonts w:hint="eastAsia" w:ascii="宋体" w:hAnsi="宋体" w:cs="宋体"/>
                <w:szCs w:val="21"/>
              </w:rPr>
              <w:t>、</w:t>
            </w:r>
            <w:r>
              <w:rPr>
                <w:rFonts w:hint="eastAsia" w:ascii="宋体" w:hAnsi="宋体" w:cs="宋体"/>
                <w:szCs w:val="21"/>
                <w:lang w:val="en-US" w:eastAsia="zh-CN"/>
              </w:rPr>
              <w:t>业务</w:t>
            </w:r>
            <w:r>
              <w:rPr>
                <w:rFonts w:hint="eastAsia" w:ascii="宋体" w:hAnsi="宋体" w:cs="宋体"/>
                <w:szCs w:val="21"/>
              </w:rPr>
              <w:t>部</w:t>
            </w:r>
          </w:p>
          <w:p>
            <w:pPr>
              <w:pStyle w:val="11"/>
              <w:spacing w:line="240" w:lineRule="auto"/>
            </w:pPr>
            <w:r>
              <w:rPr>
                <w:rFonts w:hint="eastAsia"/>
              </w:rPr>
              <w:t>人员：办公人员、业务人员、财务人员、</w:t>
            </w:r>
            <w:r>
              <w:rPr>
                <w:rFonts w:hint="eastAsia"/>
                <w:lang w:val="en-US" w:eastAsia="zh-CN"/>
              </w:rPr>
              <w:t>项目</w:t>
            </w:r>
            <w:r>
              <w:rPr>
                <w:rFonts w:hint="eastAsia"/>
              </w:rPr>
              <w:t>人员</w:t>
            </w:r>
          </w:p>
          <w:p>
            <w:pPr>
              <w:spacing w:line="240" w:lineRule="auto"/>
              <w:rPr>
                <w:rStyle w:val="16"/>
                <w:rFonts w:ascii="Arial" w:hAnsi="Arial" w:cs="Arial"/>
                <w:shd w:val="clear" w:color="auto" w:fill="FFFFFF"/>
              </w:rPr>
            </w:pPr>
            <w:r>
              <w:rPr>
                <w:rStyle w:val="16"/>
                <w:rFonts w:hint="eastAsia" w:ascii="Arial" w:hAnsi="Arial" w:cs="Arial"/>
                <w:shd w:val="clear" w:color="auto" w:fill="FFFFFF"/>
              </w:rPr>
              <w:t>办公设备：电脑、电话、</w:t>
            </w:r>
            <w:r>
              <w:rPr>
                <w:rStyle w:val="16"/>
                <w:rFonts w:hint="eastAsia" w:ascii="Arial" w:hAnsi="Arial" w:cs="Arial"/>
                <w:shd w:val="clear" w:color="auto" w:fill="FFFFFF"/>
                <w:lang w:val="en-US" w:eastAsia="zh-CN"/>
              </w:rPr>
              <w:t>智能门禁系统、对讲机、肩灯、手电、万用表</w:t>
            </w:r>
            <w:r>
              <w:rPr>
                <w:rStyle w:val="16"/>
                <w:rFonts w:hint="eastAsia" w:ascii="Arial" w:hAnsi="Arial" w:cs="Arial"/>
                <w:shd w:val="clear" w:color="auto" w:fill="FFFFFF"/>
              </w:rPr>
              <w:t>等</w:t>
            </w:r>
          </w:p>
          <w:p>
            <w:pPr>
              <w:pStyle w:val="11"/>
              <w:spacing w:line="240" w:lineRule="auto"/>
              <w:rPr>
                <w:rFonts w:hint="eastAsia"/>
              </w:rPr>
            </w:pPr>
            <w:r>
              <w:rPr>
                <w:rFonts w:hint="eastAsia"/>
                <w:lang w:val="en-US" w:eastAsia="zh-CN"/>
              </w:rPr>
              <w:t>保洁</w:t>
            </w:r>
            <w:r>
              <w:rPr>
                <w:rFonts w:hint="eastAsia"/>
              </w:rPr>
              <w:t>设备：</w:t>
            </w:r>
            <w:r>
              <w:rPr>
                <w:rFonts w:hint="eastAsia"/>
                <w:lang w:eastAsia="zh-CN"/>
              </w:rPr>
              <w:t>洒水车、巡逻车、冲洗机、扫地车、手推割、三轮冲洗车、环卫三轮车</w:t>
            </w:r>
            <w:r>
              <w:rPr>
                <w:rFonts w:hint="eastAsia"/>
              </w:rPr>
              <w:t>等</w:t>
            </w:r>
          </w:p>
          <w:p>
            <w:pPr>
              <w:pStyle w:val="11"/>
              <w:spacing w:line="240" w:lineRule="auto"/>
              <w:rPr>
                <w:rStyle w:val="16"/>
                <w:rFonts w:ascii="Arial" w:hAnsi="Arial" w:cs="Arial"/>
                <w:bCs w:val="0"/>
                <w:color w:val="auto"/>
                <w:spacing w:val="0"/>
                <w:shd w:val="clear" w:color="auto" w:fill="FFFFFF"/>
              </w:rPr>
            </w:pPr>
            <w:r>
              <w:rPr>
                <w:rStyle w:val="16"/>
                <w:rFonts w:hint="eastAsia" w:ascii="Arial" w:hAnsi="Arial" w:cs="Arial"/>
                <w:bCs w:val="0"/>
                <w:color w:val="auto"/>
                <w:spacing w:val="0"/>
                <w:shd w:val="clear" w:color="auto" w:fill="FFFFFF"/>
              </w:rPr>
              <w:t>环保设备：垃圾桶、灭火器</w:t>
            </w:r>
          </w:p>
          <w:p>
            <w:pPr>
              <w:pStyle w:val="11"/>
              <w:spacing w:line="240" w:lineRule="auto"/>
            </w:pPr>
            <w:r>
              <w:rPr>
                <w:rStyle w:val="16"/>
                <w:rFonts w:hint="eastAsia" w:ascii="Arial" w:hAnsi="Arial" w:cs="Arial"/>
                <w:bCs w:val="0"/>
                <w:color w:val="auto"/>
                <w:spacing w:val="0"/>
                <w:shd w:val="clear" w:color="auto" w:fill="FFFFFF"/>
              </w:rPr>
              <w:t>消防设施：消防</w:t>
            </w:r>
            <w:r>
              <w:rPr>
                <w:rStyle w:val="16"/>
                <w:rFonts w:hint="eastAsia" w:ascii="Arial" w:hAnsi="Arial" w:cs="Arial"/>
                <w:bCs w:val="0"/>
                <w:color w:val="auto"/>
                <w:spacing w:val="0"/>
                <w:shd w:val="clear" w:color="auto" w:fill="FFFFFF"/>
                <w:lang w:val="en-US" w:eastAsia="zh-CN"/>
              </w:rPr>
              <w:t>控制柜、消防泵、消防水池</w:t>
            </w:r>
            <w:r>
              <w:rPr>
                <w:rStyle w:val="16"/>
                <w:rFonts w:hint="eastAsia" w:ascii="Arial" w:hAnsi="Arial" w:cs="Arial"/>
                <w:bCs w:val="0"/>
                <w:color w:val="auto"/>
                <w:spacing w:val="0"/>
                <w:shd w:val="clear" w:color="auto" w:fill="FFFFFF"/>
              </w:rPr>
              <w:t>等</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w:t>
            </w:r>
          </w:p>
          <w:p>
            <w:pPr>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Cs w:val="21"/>
              </w:rPr>
              <w:t>9.1.1</w:t>
            </w:r>
          </w:p>
        </w:tc>
        <w:tc>
          <w:tcPr>
            <w:tcW w:w="10642" w:type="dxa"/>
            <w:vAlign w:val="center"/>
          </w:tcPr>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w:t>
            </w:r>
            <w:r>
              <w:rPr>
                <w:rFonts w:hint="eastAsia" w:ascii="宋体" w:hAnsi="宋体" w:cs="宋体"/>
                <w:lang w:eastAsia="zh-CN"/>
              </w:rPr>
              <w:t>YWWY</w:t>
            </w:r>
            <w:r>
              <w:rPr>
                <w:rFonts w:hint="eastAsia" w:ascii="宋体" w:hAnsi="宋体" w:cs="宋体"/>
              </w:rPr>
              <w:t>-CX-18</w:t>
            </w:r>
            <w:r>
              <w:rPr>
                <w:rFonts w:hint="eastAsia" w:asciiTheme="minorEastAsia" w:hAnsiTheme="minorEastAsia" w:eastAsiaTheme="minorEastAsia" w:cstheme="minorEastAsia"/>
                <w:szCs w:val="21"/>
              </w:rPr>
              <w:t>《顾客满意程度测量程序》</w:t>
            </w:r>
            <w:r>
              <w:rPr>
                <w:rFonts w:hint="eastAsia" w:asciiTheme="minorEastAsia" w:hAnsiTheme="minorEastAsia" w:eastAsiaTheme="minorEastAsia" w:cstheme="minorEastAsia"/>
                <w:szCs w:val="21"/>
                <w:lang w:eastAsia="zh-CN"/>
              </w:rPr>
              <w:t>、</w:t>
            </w:r>
            <w:r>
              <w:rPr>
                <w:rFonts w:hint="eastAsia" w:ascii="宋体" w:hAnsi="宋体" w:cs="宋体"/>
                <w:lang w:eastAsia="zh-CN"/>
              </w:rPr>
              <w:t>YWWY</w:t>
            </w:r>
            <w:r>
              <w:rPr>
                <w:rFonts w:hint="eastAsia" w:ascii="宋体" w:hAnsi="宋体" w:cs="宋体"/>
              </w:rPr>
              <w:t>-CX-21</w:t>
            </w:r>
            <w:r>
              <w:rPr>
                <w:rFonts w:hint="eastAsia" w:asciiTheme="minorEastAsia" w:hAnsiTheme="minorEastAsia" w:eastAsiaTheme="minorEastAsia" w:cstheme="minorEastAsia"/>
                <w:szCs w:val="21"/>
                <w:lang w:eastAsia="zh-CN"/>
              </w:rPr>
              <w:t>《</w:t>
            </w:r>
            <w:r>
              <w:rPr>
                <w:rFonts w:hint="eastAsia" w:ascii="宋体" w:hAnsi="宋体" w:cs="宋体"/>
                <w:iCs/>
              </w:rPr>
              <w:t>管理体系业绩监测和测量控制程序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，对</w:t>
            </w:r>
            <w:r>
              <w:rPr>
                <w:rFonts w:hint="eastAsia" w:eastAsiaTheme="minorEastAsia"/>
                <w:lang w:val="en-US" w:eastAsia="zh-CN"/>
              </w:rPr>
              <w:t>服务情况</w:t>
            </w:r>
            <w:r>
              <w:rPr>
                <w:rFonts w:hint="eastAsia" w:asciiTheme="minorEastAsia" w:hAnsiTheme="minorEastAsia" w:eastAsiaTheme="minorEastAsia" w:cstheme="minorEastAsia"/>
                <w:szCs w:val="21"/>
              </w:rPr>
              <w:t>进行监视和测量，以验证其符合要求的程度，确保服务符合要求。</w:t>
            </w:r>
          </w:p>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w:t>
            </w:r>
            <w:r>
              <w:rPr>
                <w:rFonts w:hint="eastAsia" w:ascii="宋体" w:hAnsi="宋体" w:cs="宋体"/>
                <w:lang w:eastAsia="zh-CN"/>
              </w:rPr>
              <w:t>YWWY</w:t>
            </w:r>
            <w:r>
              <w:rPr>
                <w:rFonts w:hint="eastAsia" w:ascii="宋体" w:hAnsi="宋体" w:cs="宋体"/>
              </w:rPr>
              <w:t>-CX-22</w:t>
            </w:r>
            <w:r>
              <w:rPr>
                <w:rFonts w:hint="eastAsia" w:asciiTheme="minorEastAsia" w:hAnsiTheme="minorEastAsia" w:eastAsiaTheme="minorEastAsia" w:cstheme="minorEastAsia"/>
                <w:szCs w:val="21"/>
              </w:rPr>
              <w:t>《</w:t>
            </w:r>
            <w:r>
              <w:rPr>
                <w:rFonts w:hint="eastAsia" w:ascii="宋体" w:hAnsi="宋体" w:cs="宋体"/>
                <w:iCs/>
              </w:rPr>
              <w:t>内部审核控制程序</w:t>
            </w:r>
            <w:r>
              <w:rPr>
                <w:rFonts w:hint="eastAsia" w:asciiTheme="minorEastAsia" w:hAnsiTheme="minorEastAsia" w:eastAsiaTheme="minorEastAsia" w:cstheme="minorEastAsia"/>
                <w:szCs w:val="21"/>
              </w:rPr>
              <w:t>》、</w:t>
            </w:r>
            <w:r>
              <w:rPr>
                <w:rFonts w:hint="eastAsia" w:ascii="宋体" w:hAnsi="宋体" w:cs="宋体"/>
                <w:lang w:eastAsia="zh-CN"/>
              </w:rPr>
              <w:t>YWWY</w:t>
            </w:r>
            <w:r>
              <w:rPr>
                <w:rFonts w:hint="eastAsia" w:ascii="宋体" w:hAnsi="宋体" w:cs="宋体"/>
              </w:rPr>
              <w:t>-CX-23</w:t>
            </w:r>
            <w:r>
              <w:rPr>
                <w:rFonts w:hint="eastAsia" w:asciiTheme="minorEastAsia" w:hAnsiTheme="minorEastAsia" w:eastAsiaTheme="minorEastAsia" w:cstheme="minorEastAsia"/>
                <w:szCs w:val="21"/>
              </w:rPr>
              <w:t>《</w:t>
            </w:r>
            <w:r>
              <w:rPr>
                <w:rFonts w:hint="eastAsia" w:ascii="宋体" w:hAnsi="宋体" w:cs="宋体"/>
                <w:iCs/>
              </w:rPr>
              <w:t>管理评审控制程序</w:t>
            </w:r>
            <w:r>
              <w:rPr>
                <w:rFonts w:hint="eastAsia" w:asciiTheme="minorEastAsia" w:hAnsiTheme="minorEastAsia" w:eastAsiaTheme="minorEastAsia" w:cstheme="minorEastAsia"/>
                <w:szCs w:val="21"/>
              </w:rPr>
              <w:t>》为保证公司质量管理体系的有效运行，通过对管理绩效的监视与测量，确保体系运行的有效性。</w:t>
            </w:r>
          </w:p>
          <w:p>
            <w:pPr>
              <w:pStyle w:val="11"/>
              <w:spacing w:line="240" w:lineRule="auto"/>
            </w:pPr>
            <w:r>
              <w:rPr>
                <w:rFonts w:hint="eastAsia"/>
              </w:rPr>
              <w:t>综合部提供了质量目标分解与实施表，规定了分解部门，分解值与采取的措施，考核频次为每</w:t>
            </w:r>
            <w:r>
              <w:rPr>
                <w:rFonts w:hint="eastAsia"/>
                <w:lang w:val="en-US" w:eastAsia="zh-CN"/>
              </w:rPr>
              <w:t>月/年</w:t>
            </w:r>
            <w:r>
              <w:rPr>
                <w:rFonts w:hint="eastAsia"/>
              </w:rPr>
              <w:t>。</w:t>
            </w:r>
          </w:p>
          <w:p>
            <w:pPr>
              <w:pStyle w:val="11"/>
              <w:spacing w:line="240" w:lineRule="auto"/>
            </w:pPr>
            <w:r>
              <w:rPr>
                <w:rFonts w:hint="eastAsia"/>
              </w:rPr>
              <w:t>目标均完成。</w:t>
            </w:r>
          </w:p>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w:t>
            </w:r>
          </w:p>
          <w:p>
            <w:pPr>
              <w:spacing w:line="240" w:lineRule="auto"/>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抽查</w:t>
            </w:r>
            <w:r>
              <w:rPr>
                <w:rFonts w:hint="eastAsia" w:ascii="宋体" w:hAnsi="宋体" w:cs="宋体"/>
                <w:szCs w:val="21"/>
              </w:rPr>
              <w:t>环境绩效监测评价报告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w:t>
            </w:r>
            <w:r>
              <w:rPr>
                <w:rFonts w:ascii="宋体" w:hAnsi="宋体" w:cs="宋体"/>
                <w:szCs w:val="21"/>
              </w:rPr>
              <w:t>GB/T24001-2016idtISO14001:2015</w:t>
            </w:r>
            <w:r>
              <w:rPr>
                <w:rFonts w:hint="eastAsia" w:ascii="宋体" w:hAnsi="宋体" w:cs="宋体"/>
                <w:szCs w:val="21"/>
              </w:rPr>
              <w:t>标准，公司员工的环境保护意识明显加强，公司的环境管理水平有了较大的提高，公司的办公区域及所管辖的公司场地范围内的环境得到了有效的保护，在公司工地树立了良好的社会形象。</w:t>
            </w:r>
            <w:r>
              <w:rPr>
                <w:rFonts w:hint="eastAsia" w:asciiTheme="minorEastAsia" w:hAnsiTheme="minorEastAsia" w:eastAsiaTheme="minorEastAsia" w:cstheme="minorEastAsia"/>
                <w:szCs w:val="21"/>
              </w:rPr>
              <w:t>评价人为公司领导和各部门负责人</w:t>
            </w:r>
            <w:r>
              <w:rPr>
                <w:rFonts w:hint="eastAsia" w:asciiTheme="minorEastAsia" w:hAnsiTheme="minorEastAsia" w:eastAsiaTheme="minorEastAsia" w:cstheme="minorEastAsia"/>
                <w:szCs w:val="21"/>
                <w:lang w:eastAsia="zh-CN"/>
              </w:rPr>
              <w:t>。</w:t>
            </w:r>
          </w:p>
          <w:p>
            <w:pPr>
              <w:spacing w:line="240" w:lineRule="auto"/>
              <w:ind w:firstLine="420" w:firstLineChars="200"/>
              <w:rPr>
                <w:rFonts w:hint="eastAsia" w:ascii="宋体" w:hAnsi="宋体" w:cs="宋体" w:eastAsiaTheme="minorEastAsia"/>
                <w:szCs w:val="21"/>
                <w:lang w:eastAsia="zh-CN"/>
              </w:rPr>
            </w:pPr>
            <w:r>
              <w:rPr>
                <w:rFonts w:hint="eastAsia" w:asciiTheme="minorEastAsia" w:hAnsiTheme="minorEastAsia" w:eastAsiaTheme="minorEastAsia" w:cstheme="minorEastAsia"/>
                <w:szCs w:val="21"/>
              </w:rPr>
              <w:t xml:space="preserve"> 抽查安全绩效</w:t>
            </w:r>
            <w:r>
              <w:rPr>
                <w:rFonts w:hint="eastAsia" w:ascii="宋体" w:hAnsi="宋体" w:cs="宋体"/>
                <w:szCs w:val="21"/>
              </w:rPr>
              <w:t>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通过贯彻GB/T45001-2018标准，公司员工的安全意识明显加强，公司的安全管理水平有了较大的提高。公司的办公区域及所管辖的现场范围内的安全工作更加规范，在工作得到了客户的好评。</w:t>
            </w:r>
            <w:r>
              <w:rPr>
                <w:rFonts w:hint="eastAsia" w:asciiTheme="minorEastAsia" w:hAnsiTheme="minorEastAsia" w:eastAsiaTheme="minorEastAsia" w:cstheme="minorEastAsia"/>
                <w:szCs w:val="21"/>
              </w:rPr>
              <w:t>评价人为公司领导和各部门负责人</w:t>
            </w:r>
            <w:r>
              <w:rPr>
                <w:rFonts w:hint="eastAsia" w:asciiTheme="minorEastAsia" w:hAnsiTheme="minorEastAsia" w:eastAsiaTheme="minorEastAsia" w:cstheme="minorEastAsia"/>
                <w:szCs w:val="21"/>
                <w:lang w:eastAsia="zh-CN"/>
              </w:rPr>
              <w:t>。</w:t>
            </w:r>
          </w:p>
          <w:p>
            <w:pPr>
              <w:spacing w:line="240" w:lineRule="auto"/>
              <w:ind w:firstLine="420" w:firstLineChars="200"/>
              <w:rPr>
                <w:rFonts w:hint="eastAsia" w:ascii="宋体" w:hAnsi="宋体" w:eastAsia="宋体" w:cs="Times New Roman"/>
                <w:kern w:val="2"/>
                <w:sz w:val="21"/>
                <w:szCs w:val="21"/>
                <w:lang w:val="en-US" w:eastAsia="zh-CN" w:bidi="ar-SA"/>
              </w:rPr>
            </w:pPr>
            <w:r>
              <w:rPr>
                <w:rFonts w:hint="eastAsia" w:asciiTheme="minorEastAsia" w:hAnsiTheme="minorEastAsia" w:eastAsiaTheme="minorEastAsia" w:cstheme="minorEastAsia"/>
                <w:szCs w:val="21"/>
              </w:rPr>
              <w:t>目前未发现公司出现违规现象。无被动性绩效的监视和测量。</w:t>
            </w:r>
            <w:bookmarkStart w:id="2" w:name="_GoBack"/>
            <w:bookmarkEnd w:id="2"/>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40" w:lineRule="auto"/>
              <w:rPr>
                <w:rFonts w:ascii="宋体" w:hAnsi="宋体" w:cs="宋体"/>
                <w:szCs w:val="21"/>
              </w:rPr>
            </w:pPr>
            <w:r>
              <w:rPr>
                <w:rFonts w:hint="eastAsia" w:ascii="宋体" w:hAnsi="宋体" w:cs="宋体"/>
                <w:szCs w:val="21"/>
              </w:rPr>
              <w:t>提供：</w:t>
            </w:r>
          </w:p>
          <w:p>
            <w:pPr>
              <w:spacing w:line="240" w:lineRule="auto"/>
              <w:rPr>
                <w:rFonts w:ascii="宋体" w:hAnsi="宋体" w:cs="宋体"/>
                <w:szCs w:val="21"/>
              </w:rPr>
            </w:pPr>
            <w:r>
              <w:rPr>
                <w:rFonts w:hint="eastAsia" w:ascii="宋体" w:hAnsi="宋体" w:cs="宋体"/>
                <w:szCs w:val="21"/>
              </w:rPr>
              <w:t>1.管理评审计划，</w:t>
            </w:r>
          </w:p>
          <w:p>
            <w:pPr>
              <w:spacing w:line="240" w:lineRule="auto"/>
              <w:rPr>
                <w:rFonts w:ascii="宋体" w:hAnsi="宋体" w:cs="宋体"/>
                <w:szCs w:val="21"/>
              </w:rPr>
            </w:pPr>
            <w:r>
              <w:rPr>
                <w:rFonts w:hint="eastAsia" w:ascii="宋体" w:hAnsi="宋体" w:cs="宋体"/>
                <w:szCs w:val="21"/>
              </w:rPr>
              <w:t>评审时间：计划2021年10月25日进行，评审方式：会议评审，</w:t>
            </w:r>
          </w:p>
          <w:p>
            <w:pPr>
              <w:spacing w:line="240" w:lineRule="auto"/>
              <w:rPr>
                <w:rFonts w:hint="eastAsia" w:ascii="宋体" w:hAnsi="宋体" w:eastAsia="宋体" w:cs="宋体"/>
                <w:szCs w:val="21"/>
                <w:lang w:eastAsia="zh-CN"/>
              </w:rPr>
            </w:pPr>
            <w:r>
              <w:rPr>
                <w:rFonts w:hint="eastAsia" w:ascii="宋体" w:hAnsi="宋体" w:cs="宋体"/>
                <w:szCs w:val="21"/>
              </w:rPr>
              <w:t>编制：</w:t>
            </w:r>
            <w:r>
              <w:rPr>
                <w:rFonts w:hint="eastAsia" w:ascii="宋体" w:hAnsi="宋体" w:cs="宋体"/>
                <w:bCs/>
                <w:szCs w:val="21"/>
                <w:lang w:eastAsia="zh-CN"/>
              </w:rPr>
              <w:t>张林飞</w:t>
            </w:r>
            <w:r>
              <w:rPr>
                <w:rFonts w:hint="eastAsia" w:ascii="宋体" w:hAnsi="宋体" w:cs="宋体"/>
                <w:bCs/>
                <w:szCs w:val="21"/>
              </w:rPr>
              <w:t xml:space="preserve"> </w:t>
            </w:r>
            <w:r>
              <w:rPr>
                <w:rFonts w:hint="eastAsia" w:ascii="宋体" w:hAnsi="宋体" w:cs="宋体"/>
                <w:szCs w:val="21"/>
              </w:rPr>
              <w:t xml:space="preserve"> 批准：</w:t>
            </w:r>
            <w:r>
              <w:rPr>
                <w:rFonts w:hint="eastAsia" w:ascii="宋体" w:hAnsi="宋体" w:cs="宋体"/>
                <w:szCs w:val="21"/>
                <w:lang w:eastAsia="zh-CN"/>
              </w:rPr>
              <w:t>窦景阵</w:t>
            </w:r>
          </w:p>
          <w:p>
            <w:pPr>
              <w:spacing w:line="240" w:lineRule="auto"/>
              <w:rPr>
                <w:rFonts w:ascii="宋体" w:hAnsi="宋体" w:cs="宋体"/>
                <w:szCs w:val="21"/>
              </w:rPr>
            </w:pPr>
            <w:r>
              <w:rPr>
                <w:rFonts w:hint="eastAsia" w:ascii="宋体" w:hAnsi="宋体" w:cs="宋体"/>
                <w:szCs w:val="21"/>
              </w:rPr>
              <w:t>参加人员包括公司总经理、管理者代表、各部门负责人，</w:t>
            </w:r>
          </w:p>
          <w:p>
            <w:pPr>
              <w:spacing w:line="240" w:lineRule="auto"/>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40" w:lineRule="auto"/>
              <w:rPr>
                <w:rFonts w:ascii="宋体" w:hAnsi="宋体" w:cs="宋体"/>
                <w:szCs w:val="21"/>
              </w:rPr>
            </w:pPr>
            <w:r>
              <w:rPr>
                <w:rFonts w:hint="eastAsia" w:ascii="宋体" w:hAnsi="宋体" w:cs="宋体"/>
                <w:szCs w:val="21"/>
              </w:rPr>
              <w:t>管理评审内容：</w:t>
            </w:r>
          </w:p>
          <w:p>
            <w:pPr>
              <w:spacing w:line="240" w:lineRule="auto"/>
              <w:rPr>
                <w:rFonts w:hint="eastAsia" w:ascii="宋体" w:hAnsi="宋体" w:cs="宋体"/>
                <w:szCs w:val="21"/>
              </w:rPr>
            </w:pPr>
            <w:r>
              <w:rPr>
                <w:rFonts w:hint="eastAsia" w:ascii="宋体" w:hAnsi="宋体" w:cs="宋体"/>
                <w:szCs w:val="21"/>
              </w:rPr>
              <w:t>1)公司内外部环境、相关方的需求和期望、应对风险和机遇的措施及评价</w:t>
            </w:r>
          </w:p>
          <w:p>
            <w:pPr>
              <w:spacing w:line="240" w:lineRule="auto"/>
              <w:rPr>
                <w:rFonts w:hint="eastAsia" w:ascii="宋体" w:hAnsi="宋体" w:cs="宋体"/>
                <w:szCs w:val="21"/>
              </w:rPr>
            </w:pPr>
            <w:r>
              <w:rPr>
                <w:rFonts w:hint="eastAsia" w:ascii="宋体" w:hAnsi="宋体" w:cs="宋体"/>
                <w:szCs w:val="21"/>
              </w:rPr>
              <w:t>2）内部审核结果分析报告</w:t>
            </w:r>
          </w:p>
          <w:p>
            <w:pPr>
              <w:spacing w:line="240" w:lineRule="auto"/>
              <w:rPr>
                <w:rFonts w:hint="eastAsia" w:ascii="宋体" w:hAnsi="宋体" w:cs="宋体"/>
                <w:szCs w:val="21"/>
              </w:rPr>
            </w:pPr>
            <w:r>
              <w:rPr>
                <w:rFonts w:hint="eastAsia" w:ascii="宋体" w:hAnsi="宋体" w:cs="宋体"/>
                <w:szCs w:val="21"/>
              </w:rPr>
              <w:t>3）目标完成情况及质量、环境、健安绩效报告</w:t>
            </w:r>
          </w:p>
          <w:p>
            <w:pPr>
              <w:spacing w:line="240" w:lineRule="auto"/>
              <w:rPr>
                <w:rFonts w:hint="eastAsia" w:ascii="宋体" w:hAnsi="宋体" w:cs="宋体"/>
                <w:szCs w:val="21"/>
              </w:rPr>
            </w:pPr>
            <w:r>
              <w:rPr>
                <w:rFonts w:hint="eastAsia" w:ascii="宋体" w:hAnsi="宋体" w:cs="宋体"/>
                <w:szCs w:val="21"/>
              </w:rPr>
              <w:t>4）纠正措施、预防措施效果分析报告</w:t>
            </w:r>
          </w:p>
          <w:p>
            <w:pPr>
              <w:spacing w:line="240" w:lineRule="auto"/>
              <w:rPr>
                <w:rFonts w:hint="eastAsia" w:ascii="宋体" w:hAnsi="宋体" w:cs="宋体"/>
                <w:szCs w:val="21"/>
              </w:rPr>
            </w:pPr>
            <w:r>
              <w:rPr>
                <w:rFonts w:hint="eastAsia" w:ascii="宋体" w:hAnsi="宋体" w:cs="宋体"/>
                <w:szCs w:val="21"/>
              </w:rPr>
              <w:t>5）管理方针、目标适宜性分析报告</w:t>
            </w:r>
          </w:p>
          <w:p>
            <w:pPr>
              <w:spacing w:line="240" w:lineRule="auto"/>
              <w:rPr>
                <w:rFonts w:hint="eastAsia" w:ascii="宋体" w:hAnsi="宋体" w:cs="宋体"/>
                <w:szCs w:val="21"/>
              </w:rPr>
            </w:pPr>
            <w:r>
              <w:rPr>
                <w:rFonts w:hint="eastAsia" w:ascii="宋体" w:hAnsi="宋体" w:cs="宋体"/>
                <w:szCs w:val="21"/>
              </w:rPr>
              <w:t>6）法律法规和其他要求遵循情况分析报告</w:t>
            </w:r>
          </w:p>
          <w:p>
            <w:pPr>
              <w:spacing w:line="240" w:lineRule="auto"/>
              <w:rPr>
                <w:rFonts w:hint="eastAsia" w:ascii="宋体" w:hAnsi="宋体" w:cs="宋体"/>
                <w:szCs w:val="21"/>
              </w:rPr>
            </w:pPr>
            <w:r>
              <w:rPr>
                <w:rFonts w:hint="eastAsia" w:ascii="宋体" w:hAnsi="宋体" w:cs="宋体"/>
                <w:szCs w:val="21"/>
              </w:rPr>
              <w:t>7）关于如何提高公司管理体系运行质量和效率的建议</w:t>
            </w:r>
          </w:p>
          <w:p>
            <w:pPr>
              <w:spacing w:line="240" w:lineRule="auto"/>
              <w:rPr>
                <w:rFonts w:hint="eastAsia" w:ascii="宋体" w:hAnsi="宋体" w:cs="宋体"/>
                <w:szCs w:val="21"/>
              </w:rPr>
            </w:pPr>
            <w:r>
              <w:rPr>
                <w:rFonts w:hint="eastAsia" w:ascii="宋体" w:hAnsi="宋体" w:cs="宋体"/>
                <w:szCs w:val="21"/>
              </w:rPr>
              <w:t>8）顾客反馈及满意度调查情况，相关方环境、健安信息沟通情况</w:t>
            </w:r>
          </w:p>
          <w:p>
            <w:pPr>
              <w:spacing w:line="240" w:lineRule="auto"/>
              <w:rPr>
                <w:rFonts w:hint="eastAsia" w:ascii="宋体" w:hAnsi="宋体" w:cs="宋体"/>
                <w:szCs w:val="21"/>
              </w:rPr>
            </w:pPr>
            <w:r>
              <w:rPr>
                <w:rFonts w:hint="eastAsia" w:ascii="宋体" w:hAnsi="宋体" w:cs="宋体"/>
                <w:szCs w:val="21"/>
              </w:rPr>
              <w:t>9）过程绩效及产品符合性总结，健安管理参与协商结果</w:t>
            </w:r>
          </w:p>
          <w:p>
            <w:pPr>
              <w:spacing w:line="240" w:lineRule="auto"/>
              <w:rPr>
                <w:rFonts w:hint="eastAsia" w:ascii="宋体" w:hAnsi="宋体" w:cs="宋体"/>
                <w:szCs w:val="21"/>
              </w:rPr>
            </w:pPr>
            <w:r>
              <w:rPr>
                <w:rFonts w:hint="eastAsia" w:ascii="宋体" w:hAnsi="宋体" w:cs="宋体"/>
                <w:szCs w:val="21"/>
              </w:rPr>
              <w:t>10）影响体系变更情况提出了自体系运行以来取得的成绩和存在的不足</w:t>
            </w:r>
          </w:p>
          <w:p>
            <w:pPr>
              <w:spacing w:line="240" w:lineRule="auto"/>
              <w:rPr>
                <w:rFonts w:ascii="宋体" w:hAnsi="宋体" w:cs="宋体"/>
                <w:szCs w:val="21"/>
              </w:rPr>
            </w:pPr>
            <w:r>
              <w:rPr>
                <w:rFonts w:hint="eastAsia" w:ascii="宋体" w:hAnsi="宋体" w:cs="宋体"/>
                <w:szCs w:val="21"/>
              </w:rPr>
              <w:t>总经理作会议总结。提供管理评审报告。</w:t>
            </w:r>
          </w:p>
          <w:p>
            <w:pPr>
              <w:spacing w:line="240" w:lineRule="auto"/>
              <w:rPr>
                <w:rFonts w:hint="eastAsia" w:ascii="宋体" w:hAnsi="宋体" w:cs="宋体"/>
                <w:szCs w:val="21"/>
              </w:rPr>
            </w:pPr>
            <w:r>
              <w:rPr>
                <w:rFonts w:hint="eastAsia" w:ascii="宋体" w:hAnsi="宋体" w:cs="宋体"/>
                <w:szCs w:val="21"/>
              </w:rPr>
              <w:t>管理评审结论：</w:t>
            </w:r>
            <w:r>
              <w:rPr>
                <w:rFonts w:ascii="宋体" w:hAnsi="宋体" w:cs="宋体"/>
                <w:szCs w:val="21"/>
              </w:rPr>
              <w:t>通过本次评审，最终得出本公司管理体系是适宜的、充分的、有效的，方针和目标是适宜的和有效的。</w:t>
            </w:r>
            <w:r>
              <w:rPr>
                <w:rFonts w:hint="eastAsia" w:ascii="宋体" w:hAnsi="宋体" w:cs="宋体"/>
                <w:szCs w:val="21"/>
                <w:lang w:val="en-US" w:eastAsia="zh-CN"/>
              </w:rPr>
              <w:t>提供有《</w:t>
            </w:r>
            <w:r>
              <w:rPr>
                <w:rFonts w:hint="eastAsia" w:ascii="宋体" w:hAnsi="宋体" w:cs="宋体"/>
                <w:szCs w:val="21"/>
              </w:rPr>
              <w:t>管理评审出现问题持续改进措施计划</w:t>
            </w:r>
            <w:r>
              <w:rPr>
                <w:rFonts w:hint="eastAsia" w:ascii="宋体" w:hAnsi="宋体" w:cs="宋体"/>
                <w:szCs w:val="21"/>
                <w:lang w:eastAsia="zh-CN"/>
              </w:rPr>
              <w:t>》</w:t>
            </w:r>
            <w:r>
              <w:rPr>
                <w:rFonts w:ascii="宋体" w:hAnsi="宋体" w:cs="宋体"/>
                <w:szCs w:val="21"/>
              </w:rPr>
              <w:t>：</w:t>
            </w:r>
            <w:r>
              <w:rPr>
                <w:rFonts w:hint="eastAsia" w:ascii="宋体" w:hAnsi="宋体" w:cs="宋体"/>
                <w:szCs w:val="21"/>
              </w:rPr>
              <w:t>1、加强新版标准文件学习</w:t>
            </w:r>
          </w:p>
          <w:p>
            <w:pPr>
              <w:spacing w:line="240" w:lineRule="auto"/>
              <w:rPr>
                <w:rFonts w:hint="eastAsia" w:ascii="宋体" w:hAnsi="宋体" w:eastAsia="宋体" w:cs="宋体"/>
                <w:szCs w:val="21"/>
                <w:lang w:eastAsia="zh-CN"/>
              </w:rPr>
            </w:pPr>
            <w:r>
              <w:rPr>
                <w:rFonts w:hint="eastAsia" w:ascii="宋体" w:hAnsi="宋体" w:cs="宋体"/>
                <w:szCs w:val="21"/>
              </w:rPr>
              <w:t>2、对物业管理服务过程强化服务意识和规范，加强对过程检查，对不合格输出采取有效的纠正或纠正措施</w:t>
            </w:r>
            <w:r>
              <w:rPr>
                <w:rFonts w:hint="eastAsia" w:ascii="宋体" w:hAnsi="宋体" w:cs="宋体"/>
                <w:szCs w:val="21"/>
                <w:lang w:eastAsia="zh-CN"/>
              </w:rPr>
              <w:t>。</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hint="eastAsia" w:ascii="宋体" w:hAnsi="宋体" w:cs="宋体"/>
                <w:szCs w:val="21"/>
                <w:lang w:val="en-US" w:eastAsia="zh-CN"/>
              </w:rPr>
            </w:pPr>
            <w:r>
              <w:rPr>
                <w:rFonts w:hint="eastAsia" w:ascii="宋体" w:hAnsi="宋体" w:cs="宋体"/>
                <w:szCs w:val="21"/>
                <w:lang w:val="en-US" w:eastAsia="zh-CN"/>
              </w:rPr>
              <w:t>改进</w:t>
            </w:r>
          </w:p>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 10.1</w:t>
            </w:r>
          </w:p>
          <w:p>
            <w:pPr>
              <w:spacing w:line="280" w:lineRule="exact"/>
            </w:pPr>
          </w:p>
        </w:tc>
        <w:tc>
          <w:tcPr>
            <w:tcW w:w="10642" w:type="dxa"/>
          </w:tcPr>
          <w:p>
            <w:pPr>
              <w:spacing w:line="240" w:lineRule="auto"/>
              <w:ind w:firstLine="420" w:firstLineChars="200"/>
              <w:rPr>
                <w:rFonts w:ascii="宋体" w:hAnsi="宋体" w:cs="宋体"/>
                <w:szCs w:val="21"/>
              </w:rPr>
            </w:pPr>
            <w:r>
              <w:rPr>
                <w:rFonts w:hint="eastAsia" w:ascii="宋体" w:hAnsi="宋体" w:cs="宋体"/>
                <w:szCs w:val="21"/>
              </w:rPr>
              <w:t xml:space="preserve">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10.3</w:t>
            </w:r>
          </w:p>
        </w:tc>
        <w:tc>
          <w:tcPr>
            <w:tcW w:w="10642" w:type="dxa"/>
            <w:vAlign w:val="center"/>
          </w:tcPr>
          <w:p>
            <w:pPr>
              <w:spacing w:line="240" w:lineRule="auto"/>
              <w:rPr>
                <w:rFonts w:ascii="华文中宋" w:hAnsi="华文中宋" w:eastAsia="华文中宋" w:cs="宋体"/>
                <w:bCs/>
                <w:color w:val="000000"/>
              </w:rPr>
            </w:pPr>
            <w:r>
              <w:rPr>
                <w:rFonts w:hint="eastAsia" w:ascii="宋体" w:hAnsi="宋体" w:cs="宋体"/>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40" w:lineRule="auto"/>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40" w:lineRule="auto"/>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pStyle w:val="11"/>
              <w:spacing w:line="240" w:lineRule="auto"/>
            </w:pPr>
            <w:r>
              <w:rPr>
                <w:rFonts w:hint="eastAsia"/>
              </w:rPr>
              <w:t>一阶段无问题</w:t>
            </w:r>
          </w:p>
          <w:p>
            <w:pPr>
              <w:pStyle w:val="11"/>
              <w:spacing w:line="240" w:lineRule="auto"/>
            </w:pPr>
            <w:r>
              <w:rPr>
                <w:rFonts w:hint="eastAsia"/>
              </w:rPr>
              <w:t>公司管理体系自运行以来，未发生质量、环境、职业健康安全事故</w:t>
            </w:r>
          </w:p>
          <w:p>
            <w:pPr>
              <w:pStyle w:val="11"/>
              <w:spacing w:line="240" w:lineRule="auto"/>
            </w:pPr>
            <w:r>
              <w:rPr>
                <w:rFonts w:hint="eastAsia"/>
              </w:rPr>
              <w:t>管理体系运行期间未发生顾客及相关方投诉情况</w:t>
            </w:r>
          </w:p>
          <w:p>
            <w:pPr>
              <w:pStyle w:val="11"/>
              <w:spacing w:line="240" w:lineRule="auto"/>
            </w:pPr>
            <w:r>
              <w:rPr>
                <w:rFonts w:hint="eastAsia"/>
              </w:rPr>
              <w:t>目前没有上级主管部门对公司的在质量、环境、职业健康安全监督抽查</w:t>
            </w:r>
          </w:p>
          <w:p>
            <w:pPr>
              <w:pStyle w:val="11"/>
              <w:spacing w:line="240" w:lineRule="auto"/>
            </w:pPr>
            <w:r>
              <w:rPr>
                <w:rFonts w:hint="eastAsia"/>
              </w:rPr>
              <w:t>目前公司经营过程中没有发生违反相关法律法规及其他要求的情况</w:t>
            </w:r>
          </w:p>
        </w:tc>
        <w:tc>
          <w:tcPr>
            <w:tcW w:w="895" w:type="dxa"/>
          </w:tcPr>
          <w:p>
            <w:r>
              <w:rPr>
                <w:rFonts w:hint="eastAsia" w:ascii="宋体" w:hAnsi="宋体" w:cs="宋体"/>
                <w:szCs w:val="21"/>
                <w:lang w:val="en-US" w:eastAsia="zh-CN"/>
              </w:rPr>
              <w:t>符合</w:t>
            </w:r>
          </w:p>
        </w:tc>
      </w:tr>
    </w:tbl>
    <w:p>
      <w:r>
        <w:ptab w:relativeTo="margin" w:alignment="center" w:leader="none"/>
      </w:r>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421F6"/>
    <w:multiLevelType w:val="multilevel"/>
    <w:tmpl w:val="184421F6"/>
    <w:lvl w:ilvl="0" w:tentative="0">
      <w:start w:val="1"/>
      <w:numFmt w:val="decimal"/>
      <w:lvlText w:val="%1."/>
      <w:lvlJc w:val="left"/>
      <w:pPr>
        <w:tabs>
          <w:tab w:val="left" w:pos="-840"/>
        </w:tabs>
        <w:ind w:left="-338" w:hanging="360"/>
      </w:pPr>
      <w:rPr>
        <w:rFonts w:hint="default"/>
      </w:rPr>
    </w:lvl>
    <w:lvl w:ilvl="1" w:tentative="0">
      <w:start w:val="1"/>
      <w:numFmt w:val="lowerLetter"/>
      <w:lvlText w:val="%2)"/>
      <w:lvlJc w:val="left"/>
      <w:pPr>
        <w:tabs>
          <w:tab w:val="left" w:pos="-840"/>
        </w:tabs>
        <w:ind w:left="142" w:hanging="420"/>
      </w:pPr>
    </w:lvl>
    <w:lvl w:ilvl="2" w:tentative="0">
      <w:start w:val="1"/>
      <w:numFmt w:val="lowerRoman"/>
      <w:lvlText w:val="%3."/>
      <w:lvlJc w:val="right"/>
      <w:pPr>
        <w:tabs>
          <w:tab w:val="left" w:pos="-840"/>
        </w:tabs>
        <w:ind w:left="562" w:hanging="420"/>
      </w:pPr>
    </w:lvl>
    <w:lvl w:ilvl="3" w:tentative="0">
      <w:start w:val="1"/>
      <w:numFmt w:val="decimal"/>
      <w:lvlText w:val="%4."/>
      <w:lvlJc w:val="left"/>
      <w:pPr>
        <w:tabs>
          <w:tab w:val="left" w:pos="-840"/>
        </w:tabs>
        <w:ind w:left="982" w:hanging="420"/>
      </w:pPr>
    </w:lvl>
    <w:lvl w:ilvl="4" w:tentative="0">
      <w:start w:val="1"/>
      <w:numFmt w:val="lowerLetter"/>
      <w:lvlText w:val="%5)"/>
      <w:lvlJc w:val="left"/>
      <w:pPr>
        <w:tabs>
          <w:tab w:val="left" w:pos="-840"/>
        </w:tabs>
        <w:ind w:left="1402" w:hanging="420"/>
      </w:pPr>
    </w:lvl>
    <w:lvl w:ilvl="5" w:tentative="0">
      <w:start w:val="1"/>
      <w:numFmt w:val="lowerRoman"/>
      <w:lvlText w:val="%6."/>
      <w:lvlJc w:val="right"/>
      <w:pPr>
        <w:tabs>
          <w:tab w:val="left" w:pos="-840"/>
        </w:tabs>
        <w:ind w:left="1822" w:hanging="420"/>
      </w:pPr>
    </w:lvl>
    <w:lvl w:ilvl="6" w:tentative="0">
      <w:start w:val="1"/>
      <w:numFmt w:val="decimal"/>
      <w:lvlText w:val="%7."/>
      <w:lvlJc w:val="left"/>
      <w:pPr>
        <w:tabs>
          <w:tab w:val="left" w:pos="-840"/>
        </w:tabs>
        <w:ind w:left="2242" w:hanging="420"/>
      </w:pPr>
    </w:lvl>
    <w:lvl w:ilvl="7" w:tentative="0">
      <w:start w:val="1"/>
      <w:numFmt w:val="lowerLetter"/>
      <w:lvlText w:val="%8)"/>
      <w:lvlJc w:val="left"/>
      <w:pPr>
        <w:tabs>
          <w:tab w:val="left" w:pos="-840"/>
        </w:tabs>
        <w:ind w:left="2662" w:hanging="420"/>
      </w:pPr>
    </w:lvl>
    <w:lvl w:ilvl="8" w:tentative="0">
      <w:start w:val="1"/>
      <w:numFmt w:val="lowerRoman"/>
      <w:lvlText w:val="%9."/>
      <w:lvlJc w:val="right"/>
      <w:pPr>
        <w:tabs>
          <w:tab w:val="left" w:pos="-840"/>
        </w:tabs>
        <w:ind w:left="3082" w:hanging="420"/>
      </w:pPr>
    </w:lvl>
  </w:abstractNum>
  <w:abstractNum w:abstractNumId="1">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6757"/>
    <w:rsid w:val="00063031"/>
    <w:rsid w:val="000861C6"/>
    <w:rsid w:val="0009306C"/>
    <w:rsid w:val="000E6BC4"/>
    <w:rsid w:val="000F2BB4"/>
    <w:rsid w:val="00102F7A"/>
    <w:rsid w:val="001257E1"/>
    <w:rsid w:val="001262E9"/>
    <w:rsid w:val="001946AD"/>
    <w:rsid w:val="00197DF9"/>
    <w:rsid w:val="001A2D7F"/>
    <w:rsid w:val="001B38D9"/>
    <w:rsid w:val="001C4DE0"/>
    <w:rsid w:val="001C6BD6"/>
    <w:rsid w:val="00225438"/>
    <w:rsid w:val="0025251D"/>
    <w:rsid w:val="0028575A"/>
    <w:rsid w:val="002968C6"/>
    <w:rsid w:val="002B2FFC"/>
    <w:rsid w:val="002D5AD2"/>
    <w:rsid w:val="002E0791"/>
    <w:rsid w:val="00305681"/>
    <w:rsid w:val="0033182F"/>
    <w:rsid w:val="00337922"/>
    <w:rsid w:val="0034065E"/>
    <w:rsid w:val="00340867"/>
    <w:rsid w:val="0037469A"/>
    <w:rsid w:val="00376191"/>
    <w:rsid w:val="00380837"/>
    <w:rsid w:val="003907D0"/>
    <w:rsid w:val="003A0C32"/>
    <w:rsid w:val="003A198A"/>
    <w:rsid w:val="003B676E"/>
    <w:rsid w:val="003D1B53"/>
    <w:rsid w:val="003D4ACE"/>
    <w:rsid w:val="003F0455"/>
    <w:rsid w:val="003F15E9"/>
    <w:rsid w:val="00410914"/>
    <w:rsid w:val="0043136D"/>
    <w:rsid w:val="004502C9"/>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7733A"/>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23F05"/>
    <w:rsid w:val="00935977"/>
    <w:rsid w:val="0094042F"/>
    <w:rsid w:val="00940E1C"/>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3A00"/>
    <w:rsid w:val="00AC6AE3"/>
    <w:rsid w:val="00AD4E0E"/>
    <w:rsid w:val="00AF0308"/>
    <w:rsid w:val="00AF0AAB"/>
    <w:rsid w:val="00AF69DA"/>
    <w:rsid w:val="00B0224F"/>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F9A"/>
    <w:rsid w:val="00CA7F00"/>
    <w:rsid w:val="00CD0AC8"/>
    <w:rsid w:val="00CE2833"/>
    <w:rsid w:val="00CE315A"/>
    <w:rsid w:val="00D03677"/>
    <w:rsid w:val="00D06F59"/>
    <w:rsid w:val="00D17159"/>
    <w:rsid w:val="00D231E4"/>
    <w:rsid w:val="00D51CF2"/>
    <w:rsid w:val="00D675BB"/>
    <w:rsid w:val="00D70D22"/>
    <w:rsid w:val="00D8388C"/>
    <w:rsid w:val="00D939C1"/>
    <w:rsid w:val="00DB43B7"/>
    <w:rsid w:val="00DC00A1"/>
    <w:rsid w:val="00DD1730"/>
    <w:rsid w:val="00E14414"/>
    <w:rsid w:val="00E32F02"/>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2B84719"/>
    <w:rsid w:val="02F94AB6"/>
    <w:rsid w:val="03640893"/>
    <w:rsid w:val="069E7BAA"/>
    <w:rsid w:val="07487DBA"/>
    <w:rsid w:val="087032D5"/>
    <w:rsid w:val="09843AD4"/>
    <w:rsid w:val="09AE4C7F"/>
    <w:rsid w:val="09F832E0"/>
    <w:rsid w:val="0A541AC1"/>
    <w:rsid w:val="0AE65CCB"/>
    <w:rsid w:val="0B250CFE"/>
    <w:rsid w:val="0DB71123"/>
    <w:rsid w:val="0FB77A13"/>
    <w:rsid w:val="102A2CE8"/>
    <w:rsid w:val="1065378B"/>
    <w:rsid w:val="108219C2"/>
    <w:rsid w:val="113A015C"/>
    <w:rsid w:val="14A32AD4"/>
    <w:rsid w:val="15AB31D4"/>
    <w:rsid w:val="170D1054"/>
    <w:rsid w:val="19CE23A1"/>
    <w:rsid w:val="201C35DE"/>
    <w:rsid w:val="24A8607E"/>
    <w:rsid w:val="24FE116D"/>
    <w:rsid w:val="25EB74EE"/>
    <w:rsid w:val="26610057"/>
    <w:rsid w:val="26F86213"/>
    <w:rsid w:val="28491A9D"/>
    <w:rsid w:val="2D807A3F"/>
    <w:rsid w:val="2E4E2574"/>
    <w:rsid w:val="303139E4"/>
    <w:rsid w:val="30A27C87"/>
    <w:rsid w:val="312266EE"/>
    <w:rsid w:val="334D3132"/>
    <w:rsid w:val="34524295"/>
    <w:rsid w:val="34ED1C2F"/>
    <w:rsid w:val="351279DA"/>
    <w:rsid w:val="391A76DA"/>
    <w:rsid w:val="39A30999"/>
    <w:rsid w:val="3DAC16ED"/>
    <w:rsid w:val="3E03163F"/>
    <w:rsid w:val="3E183177"/>
    <w:rsid w:val="3F66293E"/>
    <w:rsid w:val="40183AC7"/>
    <w:rsid w:val="41BC30D3"/>
    <w:rsid w:val="41C05420"/>
    <w:rsid w:val="42FC147E"/>
    <w:rsid w:val="4A5F6016"/>
    <w:rsid w:val="4D1B5CC2"/>
    <w:rsid w:val="4D2860C7"/>
    <w:rsid w:val="4DE94ACF"/>
    <w:rsid w:val="4F8151E4"/>
    <w:rsid w:val="50AE1FD3"/>
    <w:rsid w:val="52447F1C"/>
    <w:rsid w:val="545A60E8"/>
    <w:rsid w:val="54836A19"/>
    <w:rsid w:val="5B270D40"/>
    <w:rsid w:val="5B404F0B"/>
    <w:rsid w:val="5BAD65A6"/>
    <w:rsid w:val="5C9406EC"/>
    <w:rsid w:val="5EA12B9A"/>
    <w:rsid w:val="5EC3719B"/>
    <w:rsid w:val="6147060A"/>
    <w:rsid w:val="61DC0836"/>
    <w:rsid w:val="62F43393"/>
    <w:rsid w:val="64504434"/>
    <w:rsid w:val="64763F32"/>
    <w:rsid w:val="66432D9C"/>
    <w:rsid w:val="677D22DE"/>
    <w:rsid w:val="68B5413B"/>
    <w:rsid w:val="6991333C"/>
    <w:rsid w:val="6A403FC3"/>
    <w:rsid w:val="6CFB6932"/>
    <w:rsid w:val="6D2C467F"/>
    <w:rsid w:val="6EEF7A0A"/>
    <w:rsid w:val="6F413833"/>
    <w:rsid w:val="6FA50623"/>
    <w:rsid w:val="705747FD"/>
    <w:rsid w:val="71474E7E"/>
    <w:rsid w:val="72C70F1A"/>
    <w:rsid w:val="74821EB4"/>
    <w:rsid w:val="75717C25"/>
    <w:rsid w:val="775101C6"/>
    <w:rsid w:val="7A2E2533"/>
    <w:rsid w:val="7A745DF5"/>
    <w:rsid w:val="7AD02CAD"/>
    <w:rsid w:val="7AE8376A"/>
    <w:rsid w:val="7B551150"/>
    <w:rsid w:val="7BFB0B28"/>
    <w:rsid w:val="7CB22D97"/>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4">
    <w:name w:val="toc 3"/>
    <w:basedOn w:val="1"/>
    <w:next w:val="1"/>
    <w:qFormat/>
    <w:uiPriority w:val="0"/>
    <w:pPr>
      <w:ind w:left="840" w:leftChars="400"/>
      <w:jc w:val="both"/>
    </w:pPr>
    <w:rPr>
      <w:rFonts w:ascii="Calibri" w:hAnsi="Calibri" w:eastAsia="宋体" w:cs="Calibri"/>
      <w:iCs/>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info-content-text"/>
    <w:basedOn w:val="10"/>
    <w:qFormat/>
    <w:uiPriority w:val="0"/>
  </w:style>
  <w:style w:type="character" w:customStyle="1" w:styleId="17">
    <w:name w:val="info-expand-btn"/>
    <w:basedOn w:val="10"/>
    <w:qFormat/>
    <w:uiPriority w:val="0"/>
  </w:style>
  <w:style w:type="paragraph" w:customStyle="1" w:styleId="18">
    <w:name w:val="列出段落1"/>
    <w:basedOn w:val="1"/>
    <w:qFormat/>
    <w:uiPriority w:val="34"/>
    <w:pPr>
      <w:ind w:firstLine="420" w:firstLineChars="200"/>
    </w:pPr>
    <w:rPr>
      <w:rFonts w:asciiTheme="minorHAnsi" w:hAnsiTheme="minorHAnsi" w:eastAsiaTheme="minorEastAsia" w:cstheme="minorBidi"/>
      <w:szCs w:val="22"/>
    </w:rPr>
  </w:style>
  <w:style w:type="paragraph" w:styleId="19">
    <w:name w:val="List Paragraph"/>
    <w:basedOn w:val="1"/>
    <w:qFormat/>
    <w:uiPriority w:val="99"/>
    <w:pPr>
      <w:ind w:firstLine="420" w:firstLineChars="200"/>
    </w:pPr>
  </w:style>
  <w:style w:type="paragraph" w:styleId="20">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939</Words>
  <Characters>5355</Characters>
  <Lines>44</Lines>
  <Paragraphs>12</Paragraphs>
  <TotalTime>25</TotalTime>
  <ScaleCrop>false</ScaleCrop>
  <LinksUpToDate>false</LinksUpToDate>
  <CharactersWithSpaces>6282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2021-11-25T22:28:42Z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A29996851D5A4EF285300EE5C3991B71</vt:lpwstr>
  </property>
</Properties>
</file>