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哈尔滨索菲电气技术有限公司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0248</w:t>
      </w:r>
      <w:r>
        <w:rPr>
          <w:rFonts w:hint="eastAsia" w:ascii="宋体" w:hAnsi="宋体"/>
          <w:sz w:val="32"/>
          <w:u w:val="single"/>
        </w:rPr>
        <w:t>-2</w:t>
      </w:r>
      <w:r>
        <w:rPr>
          <w:rFonts w:hint="eastAsia" w:ascii="宋体" w:hAnsi="宋体"/>
          <w:sz w:val="32"/>
          <w:u w:val="single"/>
          <w:lang w:val="en-US" w:eastAsia="zh-CN"/>
        </w:rPr>
        <w:t>020</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248</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bCs/>
                <w:kern w:val="0"/>
                <w:szCs w:val="21"/>
              </w:rPr>
              <w:t>企业</w:t>
            </w:r>
            <w:r>
              <w:rPr>
                <w:rFonts w:hint="eastAsia" w:ascii="宋体" w:hAnsi="宋体" w:cs="宋体"/>
                <w:kern w:val="0"/>
                <w:szCs w:val="21"/>
              </w:rPr>
              <w:t>名称</w:t>
            </w:r>
          </w:p>
        </w:tc>
        <w:tc>
          <w:tcPr>
            <w:tcW w:w="3362" w:type="dxa"/>
            <w:vAlign w:val="center"/>
          </w:tcPr>
          <w:p>
            <w:pPr>
              <w:tabs>
                <w:tab w:val="left" w:pos="880"/>
              </w:tabs>
              <w:autoSpaceDE w:val="0"/>
              <w:autoSpaceDN w:val="0"/>
              <w:adjustRightInd w:val="0"/>
              <w:spacing w:before="35" w:line="276" w:lineRule="auto"/>
              <w:ind w:right="161" w:rightChars="0"/>
              <w:jc w:val="both"/>
              <w:rPr>
                <w:rFonts w:hint="eastAsia" w:cs="宋体" w:asciiTheme="minorEastAsia" w:hAnsiTheme="minorEastAsia" w:eastAsiaTheme="minorEastAsia"/>
                <w:kern w:val="0"/>
                <w:sz w:val="21"/>
                <w:szCs w:val="21"/>
                <w:lang w:eastAsia="zh-CN"/>
              </w:rPr>
            </w:pPr>
            <w:r>
              <w:rPr>
                <w:rFonts w:hint="eastAsia" w:ascii="宋体" w:hAnsi="宋体" w:eastAsia="宋体"/>
                <w:color w:val="000000"/>
                <w:szCs w:val="21"/>
                <w:lang w:eastAsia="zh-CN"/>
              </w:rPr>
              <w:t>哈尔滨索菲电气技术有限公司</w:t>
            </w:r>
          </w:p>
        </w:tc>
        <w:tc>
          <w:tcPr>
            <w:tcW w:w="1623"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企业联系人</w:t>
            </w:r>
          </w:p>
        </w:tc>
        <w:tc>
          <w:tcPr>
            <w:tcW w:w="2561" w:type="dxa"/>
            <w:vAlign w:val="center"/>
          </w:tcPr>
          <w:p>
            <w:pPr>
              <w:tabs>
                <w:tab w:val="left" w:pos="880"/>
              </w:tabs>
              <w:autoSpaceDE w:val="0"/>
              <w:autoSpaceDN w:val="0"/>
              <w:adjustRightInd w:val="0"/>
              <w:spacing w:before="35" w:line="360" w:lineRule="auto"/>
              <w:ind w:right="161" w:rightChars="0"/>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lang w:eastAsia="zh-CN"/>
              </w:rPr>
              <w:t>李巍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认证证书编号</w:t>
            </w:r>
          </w:p>
        </w:tc>
        <w:tc>
          <w:tcPr>
            <w:tcW w:w="3362" w:type="dxa"/>
            <w:vAlign w:val="top"/>
          </w:tcPr>
          <w:p>
            <w:pPr>
              <w:tabs>
                <w:tab w:val="left" w:pos="880"/>
              </w:tabs>
              <w:autoSpaceDE w:val="0"/>
              <w:autoSpaceDN w:val="0"/>
              <w:adjustRightInd w:val="0"/>
              <w:spacing w:before="35" w:line="276" w:lineRule="auto"/>
              <w:ind w:right="161" w:rightChars="0" w:firstLine="420" w:firstLineChars="200"/>
              <w:rPr>
                <w:rFonts w:hint="default" w:asciiTheme="minorEastAsia" w:hAnsiTheme="minorEastAsia" w:eastAsiaTheme="minorEastAsia"/>
                <w:sz w:val="21"/>
                <w:szCs w:val="21"/>
                <w:highlight w:val="none"/>
                <w:lang w:val="en-US" w:eastAsia="zh-CN"/>
              </w:rPr>
            </w:pPr>
            <w:r>
              <w:rPr>
                <w:rFonts w:hint="eastAsia" w:ascii="宋体" w:hAnsi="宋体" w:cs="宋体"/>
                <w:kern w:val="0"/>
                <w:szCs w:val="21"/>
                <w:shd w:val="clear" w:color="auto" w:fill="auto"/>
                <w:lang w:val="en-US" w:eastAsia="zh-CN"/>
              </w:rPr>
              <w:t>ISC-2020-0873</w:t>
            </w:r>
          </w:p>
        </w:tc>
        <w:tc>
          <w:tcPr>
            <w:tcW w:w="162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ascii="宋体" w:hAnsi="宋体" w:cs="宋体"/>
                <w:kern w:val="0"/>
                <w:szCs w:val="21"/>
              </w:rPr>
              <w:t>证书有效期</w:t>
            </w:r>
          </w:p>
        </w:tc>
        <w:tc>
          <w:tcPr>
            <w:tcW w:w="2561"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hint="eastAsia" w:ascii="宋体" w:hAnsi="宋体" w:cs="宋体"/>
                <w:kern w:val="0"/>
                <w:szCs w:val="21"/>
                <w:shd w:val="clear" w:color="auto" w:fill="auto"/>
                <w:lang w:val="en-US" w:eastAsia="zh-CN"/>
              </w:rPr>
              <w:t>2025.12.15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1</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17日上午-18</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623"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561" w:type="dxa"/>
            <w:vAlign w:val="center"/>
          </w:tcPr>
          <w:p>
            <w:pPr>
              <w:jc w:val="center"/>
              <w:rPr>
                <w:rFonts w:hint="eastAsia" w:ascii="宋体" w:hAnsi="宋体" w:cs="宋体"/>
                <w:bCs/>
                <w:szCs w:val="21"/>
              </w:rPr>
            </w:pPr>
            <w:r>
              <w:rPr>
                <w:rFonts w:hint="eastAsia" w:ascii="宋体" w:hAnsi="宋体" w:eastAsia="宋体" w:cs="宋体"/>
                <w:bCs/>
                <w:sz w:val="21"/>
                <w:szCs w:val="21"/>
                <w:lang w:val="en-US" w:eastAsia="zh-CN"/>
              </w:rPr>
              <w:t xml:space="preserve"> </w:t>
            </w:r>
            <w:r>
              <w:rPr>
                <w:rFonts w:hint="eastAsia" w:ascii="宋体" w:hAnsi="宋体" w:cs="宋体"/>
                <w:kern w:val="0"/>
                <w:sz w:val="21"/>
                <w:szCs w:val="21"/>
                <w:highlight w:val="none"/>
                <w:shd w:val="clear" w:color="auto" w:fill="auto"/>
                <w:lang w:val="en-US" w:eastAsia="zh-CN"/>
              </w:rPr>
              <w:t>生技部（组装车间）综合部、供销部</w:t>
            </w:r>
          </w:p>
          <w:p>
            <w:pPr>
              <w:ind w:left="210" w:hanging="210" w:hangingChars="100"/>
              <w:rPr>
                <w:rFonts w:ascii="宋体" w:hAnsi="宋体" w:eastAsia="宋体" w:cs="Times New Roman"/>
                <w:bCs/>
                <w:sz w:val="21"/>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运行认证</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哈尔滨索菲电气技术有限公司远程</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29</w:t>
      </w:r>
      <w:bookmarkStart w:id="5" w:name="_GoBack"/>
      <w:bookmarkEnd w:id="5"/>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管理者代表张捷任审核组长组织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07</w:t>
      </w:r>
      <w:r>
        <w:rPr>
          <w:rFonts w:hint="eastAsia" w:ascii="宋体" w:hAnsi="宋体" w:cs="宋体"/>
          <w:bCs/>
          <w:kern w:val="0"/>
          <w:szCs w:val="21"/>
        </w:rPr>
        <w:t>日，开展了测量体系管理</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bCs/>
          <w:szCs w:val="21"/>
          <w:lang w:eastAsia="zh-CN"/>
        </w:rPr>
        <w:t>委托</w:t>
      </w:r>
      <w:r>
        <w:rPr>
          <w:bCs/>
          <w:szCs w:val="21"/>
        </w:rPr>
        <w:t>、</w:t>
      </w:r>
      <w:r>
        <w:rPr>
          <w:szCs w:val="21"/>
        </w:rPr>
        <w:t>管理者代表</w:t>
      </w:r>
      <w:r>
        <w:rPr>
          <w:rFonts w:hint="eastAsia"/>
          <w:szCs w:val="21"/>
          <w:lang w:eastAsia="zh-CN"/>
        </w:rPr>
        <w:t>张捷</w:t>
      </w:r>
      <w:r>
        <w:rPr>
          <w:szCs w:val="21"/>
        </w:rPr>
        <w:t>主持</w:t>
      </w:r>
      <w:r>
        <w:rPr>
          <w:rFonts w:hint="eastAsia"/>
          <w:szCs w:val="21"/>
          <w:lang w:eastAsia="zh-CN"/>
        </w:rPr>
        <w:t>，</w:t>
      </w:r>
      <w:r>
        <w:rPr>
          <w:szCs w:val="21"/>
        </w:rPr>
        <w:t>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color w:val="000000"/>
          <w:szCs w:val="21"/>
        </w:rPr>
        <w:t>井口电参数产量监测仪，间抽井控制仪，抽油机监测用物联网通讯设备、油田专用仪器仪表、变频调速装置，抽油机智能辅助装置，抽油机用配电箱，配电柜，数字化油田系列产品的设计、组装、销售，硬件及软件技术服</w:t>
      </w:r>
      <w:r>
        <w:rPr>
          <w:rFonts w:hint="eastAsia" w:ascii="宋体" w:hAnsi="宋体" w:eastAsia="宋体" w:cs="宋体"/>
          <w:b w:val="0"/>
          <w:bCs w:val="0"/>
          <w:color w:val="000000"/>
          <w:sz w:val="21"/>
          <w:szCs w:val="21"/>
        </w:rPr>
        <w:t>务)等</w:t>
      </w:r>
      <w:r>
        <w:rPr>
          <w:rFonts w:hint="eastAsia" w:ascii="宋体" w:hAnsi="宋体" w:eastAsia="宋体" w:cs="宋体"/>
          <w:b w:val="0"/>
          <w:bCs w:val="0"/>
          <w:sz w:val="21"/>
          <w:szCs w:val="21"/>
          <w:lang w:eastAsia="zh-CN"/>
        </w:rPr>
        <w:t>。生技</w:t>
      </w:r>
      <w:r>
        <w:rPr>
          <w:rFonts w:hint="eastAsia" w:ascii="宋体" w:hAnsi="宋体" w:eastAsia="宋体" w:cs="宋体"/>
          <w:b w:val="0"/>
          <w:bCs w:val="0"/>
          <w:color w:val="000000"/>
          <w:sz w:val="21"/>
          <w:szCs w:val="21"/>
          <w:lang w:eastAsia="zh-CN"/>
        </w:rPr>
        <w:t>部</w:t>
      </w:r>
      <w:r>
        <w:rPr>
          <w:rFonts w:hint="eastAsia" w:ascii="宋体" w:hAnsi="宋体" w:eastAsia="宋体" w:cs="宋体"/>
          <w:b w:val="0"/>
          <w:bCs w:val="0"/>
          <w:kern w:val="0"/>
          <w:sz w:val="21"/>
          <w:szCs w:val="21"/>
        </w:rPr>
        <w:t>已组织识别</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sz w:val="21"/>
          <w:szCs w:val="21"/>
          <w:lang w:val="en-US" w:eastAsia="zh-CN"/>
        </w:rPr>
        <w:t>防空抽间抽衡功率控制配电箱耐压试验</w:t>
      </w:r>
      <w:r>
        <w:rPr>
          <w:rFonts w:hint="eastAsia" w:ascii="宋体" w:hAnsi="宋体" w:eastAsia="宋体" w:cs="宋体"/>
          <w:b w:val="0"/>
          <w:bCs w:val="0"/>
          <w:snapToGrid w:val="0"/>
          <w:color w:val="000000"/>
          <w:kern w:val="0"/>
          <w:sz w:val="21"/>
          <w:szCs w:val="21"/>
          <w:lang w:eastAsia="zh-CN"/>
        </w:rPr>
        <w:t>等</w:t>
      </w:r>
      <w:r>
        <w:rPr>
          <w:rFonts w:hint="eastAsia" w:ascii="宋体" w:hAnsi="宋体" w:eastAsia="宋体" w:cs="宋体"/>
          <w:b w:val="0"/>
          <w:bCs w:val="0"/>
          <w:kern w:val="0"/>
          <w:sz w:val="21"/>
          <w:szCs w:val="21"/>
          <w:lang w:val="en-US" w:eastAsia="zh-CN"/>
        </w:rPr>
        <w:t>测量过程，未增加新</w:t>
      </w:r>
      <w:r>
        <w:rPr>
          <w:rFonts w:hint="eastAsia" w:ascii="宋体" w:hAnsi="宋体" w:eastAsia="宋体" w:cs="宋体"/>
          <w:b w:val="0"/>
          <w:bCs w:val="0"/>
          <w:kern w:val="0"/>
          <w:sz w:val="21"/>
          <w:szCs w:val="21"/>
          <w:lang w:eastAsia="zh-CN"/>
        </w:rPr>
        <w:t>测量过程；</w:t>
      </w:r>
      <w:r>
        <w:rPr>
          <w:rFonts w:hint="eastAsia" w:ascii="宋体" w:hAnsi="宋体" w:eastAsia="宋体" w:cs="宋体"/>
          <w:b w:val="0"/>
          <w:bCs w:val="0"/>
          <w:kern w:val="0"/>
          <w:sz w:val="21"/>
          <w:szCs w:val="21"/>
        </w:rPr>
        <w:t>“</w:t>
      </w:r>
      <w:r>
        <w:rPr>
          <w:rFonts w:hint="eastAsia" w:ascii="宋体" w:hAnsi="宋体" w:eastAsia="宋体" w:cs="宋体"/>
          <w:b w:val="0"/>
          <w:bCs w:val="0"/>
          <w:sz w:val="21"/>
          <w:szCs w:val="21"/>
          <w:lang w:val="en-US" w:eastAsia="zh-CN"/>
        </w:rPr>
        <w:t>防空抽间抽衡功率控制配电箱耐压试验</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为</w:t>
      </w:r>
      <w:r>
        <w:rPr>
          <w:rFonts w:hint="eastAsia" w:ascii="宋体" w:hAnsi="宋体" w:eastAsia="宋体" w:cs="宋体"/>
          <w:b w:val="0"/>
          <w:bCs w:val="0"/>
          <w:kern w:val="0"/>
          <w:sz w:val="21"/>
          <w:szCs w:val="21"/>
          <w:lang w:eastAsia="zh-CN"/>
        </w:rPr>
        <w:t>关键</w:t>
      </w:r>
      <w:r>
        <w:rPr>
          <w:rFonts w:hint="eastAsia" w:ascii="宋体" w:hAnsi="宋体" w:eastAsia="宋体" w:cs="宋体"/>
          <w:b w:val="0"/>
          <w:bCs w:val="0"/>
          <w:kern w:val="0"/>
          <w:sz w:val="21"/>
          <w:szCs w:val="21"/>
        </w:rPr>
        <w:t>测量过程。企业分别对测量过程的测量要素，</w:t>
      </w:r>
      <w:r>
        <w:rPr>
          <w:rFonts w:hint="eastAsia" w:ascii="宋体" w:hAnsi="宋体" w:cs="宋体"/>
          <w:bCs/>
          <w:kern w:val="0"/>
          <w:szCs w:val="21"/>
        </w:rPr>
        <w:t>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eastAsia="宋体" w:cs="宋体"/>
          <w:b w:val="0"/>
          <w:bCs/>
          <w:kern w:val="0"/>
          <w:sz w:val="21"/>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13</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eastAsia="宋体" w:cs="宋体"/>
          <w:b w:val="0"/>
          <w:bCs/>
          <w:kern w:val="0"/>
          <w:sz w:val="21"/>
          <w:szCs w:val="21"/>
        </w:rPr>
        <w:t>“</w:t>
      </w:r>
      <w:r>
        <w:rPr>
          <w:rFonts w:hint="eastAsia" w:ascii="宋体" w:hAnsi="宋体" w:eastAsia="宋体" w:cs="宋体"/>
          <w:b w:val="0"/>
          <w:bCs/>
          <w:sz w:val="21"/>
          <w:szCs w:val="21"/>
          <w:lang w:val="en-US" w:eastAsia="zh-CN"/>
        </w:rPr>
        <w:t>防空抽间抽衡功率控制配电箱耐压试验</w:t>
      </w:r>
      <w:r>
        <w:rPr>
          <w:rFonts w:hint="eastAsia" w:ascii="宋体" w:hAnsi="宋体" w:eastAsia="宋体" w:cs="宋体"/>
          <w:b w:val="0"/>
          <w:bCs/>
          <w:kern w:val="0"/>
          <w:sz w:val="21"/>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加关键</w:t>
      </w:r>
      <w:r>
        <w:rPr>
          <w:rFonts w:ascii="Times New Roman" w:hAnsi="Times New Roman" w:cs="Times New Roman"/>
          <w:bCs/>
          <w:kern w:val="0"/>
          <w:szCs w:val="21"/>
        </w:rPr>
        <w:t>测量过程</w:t>
      </w:r>
      <w:r>
        <w:rPr>
          <w:rFonts w:hint="eastAsia" w:ascii="Times New Roman" w:hAnsi="Times New Roman" w:cs="Times New Roman"/>
          <w:bCs/>
          <w:kern w:val="0"/>
          <w:szCs w:val="21"/>
          <w:lang w:eastAsia="zh-CN"/>
        </w:rPr>
        <w:t>，查原“</w:t>
      </w:r>
      <w:r>
        <w:rPr>
          <w:rFonts w:hint="eastAsia" w:ascii="宋体" w:hAnsi="宋体" w:eastAsia="宋体" w:cs="宋体"/>
          <w:b w:val="0"/>
          <w:bCs w:val="0"/>
          <w:sz w:val="21"/>
          <w:szCs w:val="21"/>
          <w:lang w:val="en-US" w:eastAsia="zh-CN"/>
        </w:rPr>
        <w:t>防空抽间抽衡功率控制配电箱耐压试验</w:t>
      </w:r>
      <w:r>
        <w:rPr>
          <w:rFonts w:hint="eastAsia"/>
          <w:lang w:val="en-US" w:eastAsia="zh-CN"/>
        </w:rPr>
        <w:t>测</w:t>
      </w:r>
      <w:r>
        <w:rPr>
          <w:rFonts w:hint="eastAsia" w:ascii="宋体" w:hAnsi="宋体" w:eastAsia="宋体" w:cs="宋体"/>
          <w:sz w:val="21"/>
          <w:szCs w:val="21"/>
          <w:lang w:val="en-US" w:eastAsia="zh-CN"/>
        </w:rPr>
        <w:t>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宋体" w:hAnsi="宋体" w:eastAsia="宋体" w:cs="宋体"/>
          <w:b w:val="0"/>
          <w:bCs w:val="0"/>
          <w:sz w:val="21"/>
          <w:szCs w:val="21"/>
          <w:lang w:val="en-US" w:eastAsia="zh-CN"/>
        </w:rPr>
        <w:t>防空抽间抽衡功率控制配电箱耐压试验</w:t>
      </w:r>
      <w:r>
        <w:rPr>
          <w:rFonts w:ascii="Times New Roman" w:hAnsi="Times New Roman" w:cs="Times New Roman"/>
          <w:bCs/>
          <w:kern w:val="0"/>
          <w:sz w:val="21"/>
          <w:szCs w:val="21"/>
        </w:rPr>
        <w:t>测量不确定度评定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宋体" w:hAnsi="宋体" w:eastAsia="宋体" w:cs="宋体"/>
          <w:b w:val="0"/>
          <w:bCs w:val="0"/>
          <w:sz w:val="21"/>
          <w:szCs w:val="21"/>
          <w:lang w:val="en-US" w:eastAsia="zh-CN"/>
        </w:rPr>
        <w:t>防空抽间抽衡功率控制配电箱耐压试验</w:t>
      </w:r>
      <w:r>
        <w:rPr>
          <w:rFonts w:hint="eastAsia"/>
          <w:lang w:val="en-US" w:eastAsia="zh-CN"/>
        </w:rPr>
        <w:t>测量</w:t>
      </w:r>
      <w:r>
        <w:rPr>
          <w:rFonts w:hint="eastAsia"/>
        </w:rPr>
        <w:t>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w:t>
      </w:r>
      <w:r>
        <w:rPr>
          <w:rFonts w:hint="eastAsia" w:ascii="宋体" w:hAnsi="宋体"/>
          <w:b w:val="0"/>
          <w:bCs/>
          <w:sz w:val="21"/>
          <w:szCs w:val="21"/>
          <w:lang w:eastAsia="zh-CN"/>
        </w:rPr>
        <w:t>认证</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szCs w:val="22"/>
        </w:rPr>
        <w:t>查编号为</w:t>
      </w:r>
      <w:r>
        <w:rPr>
          <w:rFonts w:hint="eastAsia" w:ascii="宋体" w:hAnsi="宋体"/>
          <w:color w:val="auto"/>
          <w:szCs w:val="21"/>
          <w:lang w:val="en-US" w:eastAsia="zh-CN"/>
        </w:rPr>
        <w:t>13072431，ZC-7（2500V 2500MΩ）的绝缘电阻表，未纳入计量器具台账，未进行计量确认。</w:t>
      </w:r>
      <w:r>
        <w:rPr>
          <w:rFonts w:hint="eastAsia" w:ascii="宋体" w:hAnsi="宋体" w:cs="宋体"/>
          <w:kern w:val="0"/>
          <w:szCs w:val="21"/>
        </w:rPr>
        <w:t>不符合</w:t>
      </w:r>
      <w:r>
        <w:rPr>
          <w:rFonts w:hint="eastAsia" w:ascii="宋体" w:hAnsi="宋体"/>
          <w:color w:val="auto"/>
          <w:szCs w:val="21"/>
          <w:lang w:val="en-US" w:eastAsia="zh-CN"/>
        </w:rPr>
        <w:t>GB/T19022-2003标准中 6.3.1测量设备条款</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hint="eastAsia" w:ascii="宋体" w:hAnsi="宋体" w:cs="宋体"/>
          <w:bCs/>
          <w:kern w:val="0"/>
          <w:szCs w:val="21"/>
          <w:highlight w:val="none"/>
          <w:lang w:val="en-US" w:eastAsia="zh-CN"/>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营业执照变更（</w:t>
      </w:r>
      <w:r>
        <w:rPr>
          <w:rFonts w:hint="eastAsia" w:ascii="宋体" w:hAnsi="宋体" w:cs="宋体"/>
          <w:bCs/>
          <w:kern w:val="0"/>
          <w:szCs w:val="21"/>
          <w:highlight w:val="none"/>
          <w:lang w:val="en-US" w:eastAsia="zh-CN"/>
        </w:rPr>
        <w:t>2021.3.31</w:t>
      </w:r>
      <w:r>
        <w:rPr>
          <w:rFonts w:hint="eastAsia" w:ascii="宋体" w:hAnsi="宋体" w:cs="宋体"/>
          <w:bCs/>
          <w:kern w:val="0"/>
          <w:szCs w:val="21"/>
          <w:highlight w:val="none"/>
          <w:lang w:eastAsia="zh-CN"/>
        </w:rPr>
        <w:t>）</w:t>
      </w:r>
      <w:r>
        <w:rPr>
          <w:rFonts w:hint="eastAsia" w:ascii="宋体" w:hAnsi="宋体" w:cs="宋体"/>
          <w:bCs/>
          <w:kern w:val="0"/>
          <w:szCs w:val="21"/>
          <w:highlight w:val="none"/>
          <w:lang w:val="en-US" w:eastAsia="zh-CN"/>
        </w:rPr>
        <w:t>，生产地址变更为：</w:t>
      </w:r>
      <w:bookmarkStart w:id="3" w:name="生产地址"/>
      <w:r>
        <w:rPr>
          <w:color w:val="000000"/>
          <w:szCs w:val="21"/>
        </w:rPr>
        <w:t>黑龙江大庆市高新区新风路6-2号大庆服务外包产业园C4座106室</w:t>
      </w:r>
      <w:bookmarkEnd w:id="3"/>
      <w:r>
        <w:rPr>
          <w:rFonts w:hint="eastAsia"/>
          <w:color w:val="000000"/>
          <w:szCs w:val="21"/>
          <w:lang w:eastAsia="zh-CN"/>
        </w:rPr>
        <w:t>。附：“</w:t>
      </w:r>
      <w:r>
        <w:rPr>
          <w:rFonts w:hint="eastAsia" w:ascii="宋体" w:hAnsi="宋体" w:cs="宋体"/>
          <w:bCs/>
          <w:kern w:val="0"/>
          <w:szCs w:val="21"/>
          <w:highlight w:val="none"/>
          <w:lang w:val="en-US" w:eastAsia="zh-CN"/>
        </w:rPr>
        <w:t>认证信息确认表</w:t>
      </w:r>
      <w:r>
        <w:rPr>
          <w:rFonts w:hint="eastAsia"/>
          <w:color w:val="000000"/>
          <w:szCs w:val="21"/>
          <w:lang w:eastAsia="zh-CN"/>
        </w:rPr>
        <w:t>”</w:t>
      </w:r>
      <w:r>
        <w:rPr>
          <w:rFonts w:hint="eastAsia" w:ascii="宋体" w:hAnsi="宋体" w:cs="宋体"/>
          <w:bCs/>
          <w:kern w:val="0"/>
          <w:szCs w:val="21"/>
          <w:highlight w:val="none"/>
          <w:lang w:val="en-US" w:eastAsia="zh-CN"/>
        </w:rPr>
        <w:t>，认证范围没有变化。企业管理者代表、组织结构等没有变化。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大庆油田等</w:t>
      </w:r>
      <w:r>
        <w:rPr>
          <w:rFonts w:hint="eastAsia" w:ascii="宋体" w:hAnsi="宋体" w:cs="宋体"/>
          <w:bCs/>
          <w:kern w:val="0"/>
          <w:szCs w:val="21"/>
          <w:highlight w:val="none"/>
          <w:lang w:eastAsia="zh-CN"/>
        </w:rPr>
        <w:t>招投标单位。</w:t>
      </w: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360" w:lineRule="auto"/>
        <w:jc w:val="both"/>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10.1</w:t>
      </w:r>
      <w:r>
        <w:rPr>
          <w:rFonts w:hint="eastAsia" w:ascii="宋体" w:hAnsi="宋体"/>
          <w:b w:val="0"/>
          <w:bCs w:val="0"/>
          <w:sz w:val="21"/>
          <w:szCs w:val="21"/>
          <w:lang w:val="en-US" w:eastAsia="zh-CN"/>
        </w:rPr>
        <w:t>生技部提供的</w:t>
      </w:r>
      <w:r>
        <w:rPr>
          <w:rFonts w:hint="eastAsia" w:ascii="Times New Roman" w:hAnsi="Times New Roman" w:eastAsia="宋体" w:cs="Times New Roman"/>
          <w:b w:val="0"/>
          <w:bCs w:val="0"/>
          <w:color w:val="auto"/>
          <w:sz w:val="21"/>
          <w:szCs w:val="21"/>
          <w:lang w:eastAsia="zh-CN"/>
        </w:rPr>
        <w:t>“</w:t>
      </w:r>
      <w:r>
        <w:rPr>
          <w:rFonts w:hint="eastAsia" w:ascii="宋体" w:hAnsi="宋体"/>
          <w:b w:val="0"/>
          <w:bCs w:val="0"/>
          <w:sz w:val="21"/>
          <w:szCs w:val="21"/>
        </w:rPr>
        <w:t>机采系统工况综合监测诊断与智能运行控制装置</w:t>
      </w:r>
      <w:r>
        <w:rPr>
          <w:rFonts w:hint="eastAsia" w:ascii="Times New Roman" w:hAnsi="Times New Roman" w:eastAsia="宋体" w:cs="Times New Roman"/>
          <w:b w:val="0"/>
          <w:bCs w:val="0"/>
          <w:sz w:val="21"/>
          <w:szCs w:val="21"/>
          <w:lang w:val="en-US" w:eastAsia="zh-CN"/>
        </w:rPr>
        <w:t>”《</w:t>
      </w:r>
      <w:r>
        <w:rPr>
          <w:rFonts w:hint="eastAsia" w:ascii="宋体" w:hAnsi="宋体" w:eastAsia="宋体" w:cs="宋体"/>
          <w:b w:val="0"/>
          <w:bCs w:val="0"/>
          <w:sz w:val="21"/>
          <w:szCs w:val="21"/>
        </w:rPr>
        <w:t>成品检验报告单</w:t>
      </w:r>
      <w:r>
        <w:rPr>
          <w:rFonts w:hint="eastAsia" w:ascii="Times New Roman" w:hAnsi="Times New Roman" w:eastAsia="宋体" w:cs="Times New Roman"/>
          <w:b w:val="0"/>
          <w:bCs w:val="0"/>
          <w:sz w:val="21"/>
          <w:szCs w:val="21"/>
          <w:lang w:val="en-US" w:eastAsia="zh-CN"/>
        </w:rPr>
        <w:t>》，检验日</w:t>
      </w:r>
      <w:r>
        <w:rPr>
          <w:rFonts w:ascii="宋体" w:hAnsi="宋体"/>
          <w:b w:val="0"/>
          <w:bCs w:val="0"/>
          <w:kern w:val="0"/>
          <w:sz w:val="21"/>
          <w:szCs w:val="21"/>
        </w:rPr>
        <w:t>20</w:t>
      </w:r>
      <w:r>
        <w:rPr>
          <w:rFonts w:hint="eastAsia" w:ascii="宋体" w:hAnsi="宋体"/>
          <w:b w:val="0"/>
          <w:bCs w:val="0"/>
          <w:kern w:val="0"/>
          <w:sz w:val="21"/>
          <w:szCs w:val="21"/>
        </w:rPr>
        <w:t>21</w:t>
      </w:r>
      <w:r>
        <w:rPr>
          <w:rFonts w:ascii="宋体" w:hAnsi="宋体"/>
          <w:b w:val="0"/>
          <w:bCs w:val="0"/>
          <w:kern w:val="0"/>
          <w:sz w:val="21"/>
          <w:szCs w:val="21"/>
        </w:rPr>
        <w:t>.</w:t>
      </w:r>
      <w:r>
        <w:rPr>
          <w:rFonts w:hint="eastAsia" w:ascii="宋体" w:hAnsi="宋体"/>
          <w:b w:val="0"/>
          <w:bCs w:val="0"/>
          <w:kern w:val="0"/>
          <w:sz w:val="21"/>
          <w:szCs w:val="21"/>
        </w:rPr>
        <w:t>8</w:t>
      </w:r>
      <w:r>
        <w:rPr>
          <w:rFonts w:ascii="宋体" w:hAnsi="宋体"/>
          <w:b w:val="0"/>
          <w:bCs w:val="0"/>
          <w:kern w:val="0"/>
          <w:sz w:val="21"/>
          <w:szCs w:val="21"/>
        </w:rPr>
        <w:t>.</w:t>
      </w:r>
      <w:r>
        <w:rPr>
          <w:rFonts w:hint="eastAsia" w:ascii="宋体" w:hAnsi="宋体"/>
          <w:b w:val="0"/>
          <w:bCs w:val="0"/>
          <w:kern w:val="0"/>
          <w:sz w:val="21"/>
          <w:szCs w:val="21"/>
        </w:rPr>
        <w:t>19</w:t>
      </w:r>
      <w:r>
        <w:rPr>
          <w:rFonts w:hint="eastAsia" w:ascii="Times New Roman" w:hAnsi="Times New Roman" w:eastAsia="宋体" w:cs="Times New Roman"/>
          <w:b w:val="0"/>
          <w:bCs w:val="0"/>
          <w:sz w:val="21"/>
          <w:szCs w:val="21"/>
          <w:lang w:val="en-US" w:eastAsia="zh-CN"/>
        </w:rPr>
        <w:t>“检验结果一栏”没有量化描述。</w:t>
      </w:r>
      <w:r>
        <w:rPr>
          <w:rFonts w:hint="eastAsia" w:ascii="宋体" w:hAnsi="宋体" w:eastAsia="宋体" w:cs="宋体"/>
          <w:kern w:val="0"/>
          <w:sz w:val="21"/>
          <w:szCs w:val="21"/>
          <w:lang w:val="en-US" w:eastAsia="zh-CN" w:bidi="ar-SA"/>
        </w:rPr>
        <w:t>不符合GB/T19022-2003标准中 7</w:t>
      </w:r>
      <w:r>
        <w:rPr>
          <w:rFonts w:hint="eastAsia" w:ascii="宋体" w:hAnsi="宋体" w:cs="宋体"/>
          <w:kern w:val="0"/>
          <w:szCs w:val="21"/>
          <w:highlight w:val="none"/>
          <w:lang w:val="en-US" w:eastAsia="zh-CN"/>
        </w:rPr>
        <w:t>.2.4条款测量过程的记录要求的要求。属于次要不符合项。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2021年1月至10月，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2.53</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17上午-11月18日上午</w:t>
      </w:r>
      <w:r>
        <w:rPr>
          <w:rFonts w:hint="eastAsia" w:ascii="宋体" w:hAnsi="宋体" w:cs="宋体"/>
          <w:bCs/>
          <w:color w:val="auto"/>
          <w:kern w:val="0"/>
          <w:szCs w:val="21"/>
        </w:rPr>
        <w:t>，对</w:t>
      </w:r>
      <w:r>
        <w:rPr>
          <w:rFonts w:hint="eastAsia" w:ascii="宋体" w:hAnsi="宋体"/>
          <w:color w:val="auto"/>
          <w:szCs w:val="21"/>
          <w:lang w:eastAsia="zh-CN"/>
        </w:rPr>
        <w:t>哈尔滨索菲电气技术有限公司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体系远程</w:t>
      </w:r>
      <w:r>
        <w:rPr>
          <w:rFonts w:hint="eastAsia" w:ascii="宋体" w:hAnsi="宋体" w:cs="宋体"/>
          <w:bCs/>
          <w:color w:val="auto"/>
          <w:kern w:val="0"/>
          <w:szCs w:val="21"/>
        </w:rPr>
        <w:t>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哈尔滨索菲电气技术有限公司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2021.11.18</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662FE"/>
    <w:rsid w:val="03374A5F"/>
    <w:rsid w:val="049D6929"/>
    <w:rsid w:val="07A22038"/>
    <w:rsid w:val="07BC2655"/>
    <w:rsid w:val="07F6331D"/>
    <w:rsid w:val="081433FF"/>
    <w:rsid w:val="0866484A"/>
    <w:rsid w:val="08AF38B7"/>
    <w:rsid w:val="08C9577B"/>
    <w:rsid w:val="0CC1767E"/>
    <w:rsid w:val="0DE1402D"/>
    <w:rsid w:val="1051458B"/>
    <w:rsid w:val="10FC7F7C"/>
    <w:rsid w:val="145913C3"/>
    <w:rsid w:val="18895737"/>
    <w:rsid w:val="1ACA15A5"/>
    <w:rsid w:val="1D644926"/>
    <w:rsid w:val="1E0679E2"/>
    <w:rsid w:val="20245D89"/>
    <w:rsid w:val="21C517C9"/>
    <w:rsid w:val="2253747B"/>
    <w:rsid w:val="228F589D"/>
    <w:rsid w:val="22A73156"/>
    <w:rsid w:val="238D590A"/>
    <w:rsid w:val="23E3439E"/>
    <w:rsid w:val="259C7022"/>
    <w:rsid w:val="25FE255B"/>
    <w:rsid w:val="261769C3"/>
    <w:rsid w:val="27816C16"/>
    <w:rsid w:val="27954974"/>
    <w:rsid w:val="299E6A98"/>
    <w:rsid w:val="2B030917"/>
    <w:rsid w:val="2C4F0E75"/>
    <w:rsid w:val="2E9535C2"/>
    <w:rsid w:val="2F3769D8"/>
    <w:rsid w:val="2F98679A"/>
    <w:rsid w:val="313D2294"/>
    <w:rsid w:val="31647056"/>
    <w:rsid w:val="321A44F5"/>
    <w:rsid w:val="328D7A02"/>
    <w:rsid w:val="32A1519D"/>
    <w:rsid w:val="33A85929"/>
    <w:rsid w:val="33E861D3"/>
    <w:rsid w:val="34A46DF0"/>
    <w:rsid w:val="34D516A9"/>
    <w:rsid w:val="356A4FB1"/>
    <w:rsid w:val="363F5E2D"/>
    <w:rsid w:val="36BD22BD"/>
    <w:rsid w:val="377A715E"/>
    <w:rsid w:val="378D388E"/>
    <w:rsid w:val="3868400B"/>
    <w:rsid w:val="38880CD0"/>
    <w:rsid w:val="39571FC5"/>
    <w:rsid w:val="39EA584B"/>
    <w:rsid w:val="3F903830"/>
    <w:rsid w:val="408706D3"/>
    <w:rsid w:val="44C42B5F"/>
    <w:rsid w:val="49F92A91"/>
    <w:rsid w:val="4A126716"/>
    <w:rsid w:val="4ABD7835"/>
    <w:rsid w:val="4BB943B0"/>
    <w:rsid w:val="4BD16FB0"/>
    <w:rsid w:val="505F1232"/>
    <w:rsid w:val="50FA73B2"/>
    <w:rsid w:val="52977792"/>
    <w:rsid w:val="52D06ACC"/>
    <w:rsid w:val="53E204EF"/>
    <w:rsid w:val="53FD699A"/>
    <w:rsid w:val="548C10AE"/>
    <w:rsid w:val="553819D4"/>
    <w:rsid w:val="55846126"/>
    <w:rsid w:val="56A52AE7"/>
    <w:rsid w:val="56AF49FF"/>
    <w:rsid w:val="57961E25"/>
    <w:rsid w:val="57EE0A87"/>
    <w:rsid w:val="583773EE"/>
    <w:rsid w:val="58FA7A57"/>
    <w:rsid w:val="5ACA30F8"/>
    <w:rsid w:val="5AD7341B"/>
    <w:rsid w:val="5B4471AA"/>
    <w:rsid w:val="5BED2E50"/>
    <w:rsid w:val="5D8B40D4"/>
    <w:rsid w:val="5E541A14"/>
    <w:rsid w:val="60EE17B6"/>
    <w:rsid w:val="60FF6850"/>
    <w:rsid w:val="61204131"/>
    <w:rsid w:val="612E2E61"/>
    <w:rsid w:val="61880FEB"/>
    <w:rsid w:val="63244996"/>
    <w:rsid w:val="64882719"/>
    <w:rsid w:val="64B23398"/>
    <w:rsid w:val="653A413B"/>
    <w:rsid w:val="65B354C1"/>
    <w:rsid w:val="66B707C5"/>
    <w:rsid w:val="66C76995"/>
    <w:rsid w:val="66DA4EE7"/>
    <w:rsid w:val="678058D7"/>
    <w:rsid w:val="69443018"/>
    <w:rsid w:val="695375A4"/>
    <w:rsid w:val="69DD4616"/>
    <w:rsid w:val="6A3749C6"/>
    <w:rsid w:val="6BC61023"/>
    <w:rsid w:val="6CD356B6"/>
    <w:rsid w:val="6DB43658"/>
    <w:rsid w:val="6E407BC1"/>
    <w:rsid w:val="6E4A2C41"/>
    <w:rsid w:val="6F03617D"/>
    <w:rsid w:val="6FCB3BEE"/>
    <w:rsid w:val="70F168D6"/>
    <w:rsid w:val="71A75E13"/>
    <w:rsid w:val="72FF0D20"/>
    <w:rsid w:val="756C46F1"/>
    <w:rsid w:val="75C30245"/>
    <w:rsid w:val="79880B95"/>
    <w:rsid w:val="7E0A279A"/>
    <w:rsid w:val="7ED838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6</TotalTime>
  <ScaleCrop>false</ScaleCrop>
  <LinksUpToDate>false</LinksUpToDate>
  <CharactersWithSpaces>2163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2021-11-18T02:32:07Z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26855577654D4779AED556AE7C30A6C9</vt:lpwstr>
  </property>
</Properties>
</file>