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防空抽间抽衡功率控制配电箱耐压试验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防空抽间抽衡功率控制配电箱耐压试验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+2%kV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0.005kV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南京市计量监督检测院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64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35330" cy="429260"/>
                  <wp:effectExtent l="0" t="0" r="0" b="0"/>
                  <wp:docPr id="5" name="图片 1" descr="刘成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刘成林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27B3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595B4D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304F8E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5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2021-11-17T07:15:58Z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0B78284634C943B780DB417D1B0D534D</vt:lpwstr>
  </property>
</Properties>
</file>