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653"/>
        <w:gridCol w:w="1081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67"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653"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815" w:type="dxa"/>
            <w:noWrap w:val="0"/>
            <w:vAlign w:val="center"/>
          </w:tcPr>
          <w:p>
            <w:pPr>
              <w:rPr>
                <w:rFonts w:hint="default" w:eastAsia="宋体"/>
                <w:sz w:val="24"/>
                <w:szCs w:val="24"/>
                <w:lang w:val="en-US" w:eastAsia="zh-CN"/>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刘世明</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val="en-US" w:eastAsia="zh-CN"/>
              </w:rPr>
              <w:t>冯晟</w:t>
            </w:r>
          </w:p>
        </w:tc>
        <w:tc>
          <w:tcPr>
            <w:tcW w:w="77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 xml:space="preserve">宋明珠   </w:t>
            </w:r>
            <w:r>
              <w:rPr>
                <w:rFonts w:hint="eastAsia"/>
                <w:sz w:val="24"/>
                <w:szCs w:val="24"/>
              </w:rPr>
              <w:t xml:space="preserve">     审核时间：</w:t>
            </w:r>
            <w:r>
              <w:rPr>
                <w:rFonts w:hint="eastAsia"/>
                <w:sz w:val="24"/>
                <w:szCs w:val="24"/>
                <w:lang w:eastAsia="zh-CN"/>
              </w:rPr>
              <w:t>2021.11.15</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vMerge w:val="continue"/>
            <w:noWrap w:val="0"/>
            <w:vAlign w:val="center"/>
          </w:tcPr>
          <w:p/>
        </w:tc>
        <w:tc>
          <w:tcPr>
            <w:tcW w:w="653" w:type="dxa"/>
            <w:vMerge w:val="continue"/>
            <w:noWrap w:val="0"/>
            <w:vAlign w:val="center"/>
          </w:tcPr>
          <w:p/>
        </w:tc>
        <w:tc>
          <w:tcPr>
            <w:tcW w:w="10815" w:type="dxa"/>
            <w:noWrap w:val="0"/>
            <w:vAlign w:val="center"/>
          </w:tcPr>
          <w:p>
            <w:pPr>
              <w:rPr>
                <w:sz w:val="24"/>
                <w:szCs w:val="24"/>
              </w:rPr>
            </w:pPr>
            <w:r>
              <w:rPr>
                <w:rFonts w:hint="eastAsia"/>
                <w:sz w:val="24"/>
                <w:szCs w:val="24"/>
              </w:rPr>
              <w:t>审核条款：</w:t>
            </w:r>
          </w:p>
        </w:tc>
        <w:tc>
          <w:tcPr>
            <w:tcW w:w="77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653" w:type="dxa"/>
            <w:noWrap w:val="0"/>
            <w:vAlign w:val="top"/>
          </w:tcPr>
          <w:p>
            <w:r>
              <w:rPr>
                <w:rFonts w:hint="eastAsia"/>
                <w:b/>
              </w:rPr>
              <w:t>4.1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公司制定有《内、外部因素识别评价总清单》，确定对公司有利的内外部环境因素有：公司全体员工的质量意识比较强，产品质量在同行业中比较领先。公司的设备和生产的技术水平比较先进。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774" w:type="dxa"/>
            <w:noWrap w:val="0"/>
            <w:vAlign w:val="top"/>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467" w:type="dxa"/>
            <w:noWrap w:val="0"/>
            <w:vAlign w:val="top"/>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653" w:type="dxa"/>
            <w:noWrap w:val="0"/>
            <w:vAlign w:val="center"/>
          </w:tcPr>
          <w:p>
            <w:pPr>
              <w:rPr>
                <w:b/>
                <w:szCs w:val="21"/>
              </w:rPr>
            </w:pPr>
            <w:r>
              <w:rPr>
                <w:rFonts w:hint="eastAsia"/>
                <w:b/>
              </w:rPr>
              <w:t>4.2</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jc w:val="left"/>
              <w:rPr>
                <w:rFonts w:ascii="宋体" w:hAnsi="宋体" w:cs="宋体"/>
                <w:szCs w:val="21"/>
              </w:rPr>
            </w:pPr>
            <w:r>
              <w:rPr>
                <w:rFonts w:hint="eastAsia" w:ascii="宋体" w:hAnsi="宋体" w:cs="宋体"/>
                <w:color w:val="000000"/>
                <w:szCs w:val="24"/>
              </w:rPr>
              <w:t>监测指标：产品交付合格率、产品交付履约、顾客满意度等。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p>
        </w:tc>
        <w:tc>
          <w:tcPr>
            <w:tcW w:w="653" w:type="dxa"/>
            <w:noWrap w:val="0"/>
            <w:vAlign w:val="center"/>
          </w:tcPr>
          <w:p>
            <w:pPr>
              <w:rPr>
                <w:b/>
                <w:szCs w:val="21"/>
              </w:rPr>
            </w:pPr>
            <w:r>
              <w:rPr>
                <w:rFonts w:hint="eastAsia"/>
                <w:b/>
              </w:rPr>
              <w:t>4.3</w:t>
            </w:r>
          </w:p>
        </w:tc>
        <w:tc>
          <w:tcPr>
            <w:tcW w:w="10815" w:type="dxa"/>
            <w:noWrap w:val="0"/>
            <w:vAlign w:val="top"/>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公司确定的质量管理体系的范围为:</w:t>
            </w:r>
          </w:p>
          <w:p>
            <w:pPr>
              <w:spacing w:line="360" w:lineRule="auto"/>
              <w:ind w:firstLine="420" w:firstLineChars="200"/>
              <w:rPr>
                <w:rFonts w:hint="eastAsia" w:ascii="宋体" w:hAnsi="宋体" w:cs="宋体"/>
                <w:color w:val="000000"/>
                <w:szCs w:val="21"/>
                <w:lang w:val="en-US" w:eastAsia="zh-CN"/>
              </w:rPr>
            </w:pPr>
            <w:r>
              <w:rPr>
                <w:rFonts w:hint="eastAsia"/>
                <w:sz w:val="21"/>
                <w:szCs w:val="21"/>
                <w:lang w:val="en-US" w:eastAsia="zh-CN"/>
              </w:rPr>
              <w:t>振动（在线、离线）监测系统</w:t>
            </w:r>
            <w:r>
              <w:rPr>
                <w:rFonts w:hint="eastAsia" w:ascii="宋体" w:hAnsi="宋体" w:cs="宋体"/>
                <w:color w:val="000000"/>
                <w:szCs w:val="21"/>
                <w:lang w:val="en-US" w:eastAsia="zh-CN"/>
              </w:rPr>
              <w:t>的软件、硬件开发及销售</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经识别，组织依据ISO9001：2015版标准的要求建立、实施、维护质量管理体系，符合标准要求。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---不适用条款：无</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注册地址：</w:t>
            </w:r>
            <w:bookmarkStart w:id="0" w:name="生产地址"/>
            <w:r>
              <w:rPr>
                <w:rFonts w:hint="eastAsia" w:ascii="宋体" w:hAnsi="宋体" w:cs="宋体"/>
                <w:color w:val="000000"/>
                <w:szCs w:val="21"/>
              </w:rPr>
              <w:t>成都高新区天目路77号10栋1单元6楼614号</w:t>
            </w:r>
            <w:bookmarkEnd w:id="0"/>
          </w:p>
          <w:p>
            <w:pPr>
              <w:spacing w:line="360" w:lineRule="auto"/>
              <w:ind w:firstLine="420" w:firstLineChars="200"/>
              <w:rPr>
                <w:rFonts w:hint="eastAsia" w:ascii="宋体" w:hAnsi="宋体" w:cs="宋体"/>
                <w:color w:val="000000"/>
                <w:szCs w:val="21"/>
                <w:highlight w:val="yellow"/>
              </w:rPr>
            </w:pPr>
            <w:r>
              <w:rPr>
                <w:rFonts w:hint="eastAsia" w:ascii="宋体" w:hAnsi="宋体" w:cs="宋体"/>
                <w:color w:val="000000"/>
                <w:szCs w:val="21"/>
              </w:rPr>
              <w:t>生产/经营地址：</w:t>
            </w:r>
            <w:r>
              <w:rPr>
                <w:rFonts w:hint="eastAsia"/>
                <w:szCs w:val="21"/>
                <w:lang w:val="en-US" w:eastAsia="zh-CN"/>
              </w:rPr>
              <w:t>成都市成华区崔家店路75号2栋1单元</w:t>
            </w:r>
          </w:p>
          <w:p>
            <w:pPr>
              <w:spacing w:line="400" w:lineRule="exact"/>
              <w:jc w:val="left"/>
              <w:rPr>
                <w:rFonts w:ascii="宋体" w:hAnsi="宋体" w:cs="宋体"/>
                <w:szCs w:val="21"/>
              </w:rPr>
            </w:pP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467" w:type="dxa"/>
            <w:noWrap w:val="0"/>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p>
        </w:tc>
        <w:tc>
          <w:tcPr>
            <w:tcW w:w="653" w:type="dxa"/>
            <w:noWrap w:val="0"/>
            <w:vAlign w:val="center"/>
          </w:tcPr>
          <w:p>
            <w:pPr>
              <w:rPr>
                <w:b/>
                <w:szCs w:val="21"/>
              </w:rPr>
            </w:pPr>
            <w:r>
              <w:rPr>
                <w:rFonts w:hint="eastAsia"/>
                <w:b/>
              </w:rPr>
              <w:t>4.4</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公司按照ISO9001:2015标准的要求，建立、实施、保持和持续改进质量管理体系，策划</w:t>
            </w:r>
            <w:r>
              <w:rPr>
                <w:rFonts w:hint="eastAsia" w:ascii="宋体" w:hAnsi="宋体" w:cs="宋体"/>
                <w:color w:val="000000"/>
                <w:szCs w:val="24"/>
                <w:lang w:eastAsia="zh-CN"/>
              </w:rPr>
              <w:t>管理手册</w:t>
            </w:r>
            <w:r>
              <w:rPr>
                <w:rFonts w:hint="eastAsia" w:ascii="宋体" w:hAnsi="宋体" w:cs="宋体"/>
                <w:color w:val="000000"/>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组织制定有管理评审控制程序，定期进行体系评审，必要时变更过程，以确保过程持续产生公司期望的结果。</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color w:val="000000"/>
                <w:szCs w:val="24"/>
              </w:rPr>
              <w:t>经现场确认特殊过程</w:t>
            </w:r>
            <w:r>
              <w:rPr>
                <w:rFonts w:hint="eastAsia" w:ascii="宋体" w:hAnsi="宋体" w:cs="宋体"/>
                <w:color w:val="000000"/>
                <w:szCs w:val="24"/>
                <w:lang w:val="en-US" w:eastAsia="zh-CN"/>
              </w:rPr>
              <w:t>为：</w:t>
            </w:r>
            <w:r>
              <w:rPr>
                <w:rFonts w:hint="eastAsia" w:ascii="宋体" w:hAnsi="宋体" w:cs="宋体"/>
                <w:sz w:val="21"/>
                <w:szCs w:val="21"/>
              </w:rPr>
              <w:t>软件</w:t>
            </w:r>
            <w:r>
              <w:rPr>
                <w:rFonts w:hint="eastAsia" w:ascii="宋体" w:hAnsi="宋体" w:cs="宋体"/>
                <w:sz w:val="21"/>
                <w:szCs w:val="21"/>
                <w:lang w:val="en-US" w:eastAsia="zh-CN"/>
              </w:rPr>
              <w:t>研</w:t>
            </w:r>
            <w:r>
              <w:rPr>
                <w:rFonts w:hint="eastAsia" w:ascii="宋体" w:hAnsi="宋体" w:cs="宋体"/>
                <w:sz w:val="21"/>
                <w:szCs w:val="21"/>
              </w:rPr>
              <w:t>发过程</w:t>
            </w:r>
            <w:r>
              <w:rPr>
                <w:rFonts w:hint="eastAsia" w:ascii="宋体" w:hAnsi="宋体" w:cs="宋体"/>
                <w:sz w:val="21"/>
                <w:szCs w:val="21"/>
                <w:lang w:eastAsia="zh-CN"/>
              </w:rPr>
              <w:t>、</w:t>
            </w:r>
            <w:r>
              <w:rPr>
                <w:rFonts w:hint="eastAsia" w:ascii="宋体" w:hAnsi="宋体" w:cs="宋体"/>
                <w:sz w:val="21"/>
                <w:szCs w:val="21"/>
                <w:lang w:val="en-US" w:eastAsia="zh-CN"/>
              </w:rPr>
              <w:t>销售服务过程</w:t>
            </w:r>
          </w:p>
          <w:p>
            <w:pPr>
              <w:spacing w:line="276"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外包过程：</w:t>
            </w:r>
            <w:r>
              <w:rPr>
                <w:rFonts w:hint="eastAsia" w:ascii="宋体" w:hAnsi="宋体" w:cs="宋体"/>
                <w:sz w:val="21"/>
                <w:szCs w:val="21"/>
                <w:lang w:val="en-US" w:eastAsia="zh-CN"/>
              </w:rPr>
              <w:t>设备组装过程</w:t>
            </w:r>
            <w:r>
              <w:rPr>
                <w:rFonts w:hint="eastAsia" w:ascii="宋体" w:hAnsi="宋体" w:cs="宋体"/>
                <w:sz w:val="21"/>
                <w:szCs w:val="21"/>
                <w:lang w:eastAsia="zh-CN"/>
              </w:rPr>
              <w:t>。</w:t>
            </w:r>
          </w:p>
          <w:p>
            <w:pPr>
              <w:spacing w:line="360" w:lineRule="auto"/>
              <w:ind w:firstLine="420" w:firstLineChars="200"/>
              <w:rPr>
                <w:rFonts w:hint="eastAsia" w:ascii="宋体" w:hAnsi="宋体" w:cs="宋体"/>
                <w:sz w:val="21"/>
                <w:szCs w:val="21"/>
                <w:lang w:val="en-US" w:eastAsia="zh-CN"/>
              </w:rPr>
            </w:pP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adjustRightInd w:val="0"/>
              <w:snapToGrid w:val="0"/>
              <w:jc w:val="center"/>
              <w:rPr>
                <w:rFonts w:ascii="宋体" w:hAnsi="宋体" w:cs="宋体"/>
                <w:szCs w:val="21"/>
              </w:rPr>
            </w:pPr>
          </w:p>
        </w:tc>
        <w:tc>
          <w:tcPr>
            <w:tcW w:w="653" w:type="dxa"/>
            <w:noWrap w:val="0"/>
            <w:vAlign w:val="center"/>
          </w:tcPr>
          <w:p>
            <w:pPr>
              <w:rPr>
                <w:b/>
                <w:szCs w:val="21"/>
              </w:rPr>
            </w:pPr>
            <w:r>
              <w:rPr>
                <w:rFonts w:hint="eastAsia"/>
                <w:b/>
              </w:rPr>
              <w:t>5.1</w:t>
            </w:r>
          </w:p>
        </w:tc>
        <w:tc>
          <w:tcPr>
            <w:tcW w:w="10815" w:type="dxa"/>
            <w:noWrap w:val="0"/>
            <w:vAlign w:val="top"/>
          </w:tcPr>
          <w:p>
            <w:pPr>
              <w:spacing w:line="360" w:lineRule="auto"/>
              <w:ind w:firstLine="525" w:firstLineChars="250"/>
              <w:jc w:val="left"/>
              <w:rPr>
                <w:rFonts w:hint="default" w:ascii="宋体" w:hAnsi="宋体" w:eastAsia="宋体" w:cs="宋体"/>
                <w:color w:val="000000"/>
                <w:szCs w:val="24"/>
                <w:lang w:val="en-US" w:eastAsia="zh-CN"/>
              </w:rPr>
            </w:pPr>
            <w:r>
              <w:rPr>
                <w:rFonts w:hint="eastAsia" w:ascii="宋体" w:hAnsi="宋体" w:cs="宋体"/>
                <w:szCs w:val="24"/>
              </w:rPr>
              <w:t>总</w:t>
            </w:r>
            <w:r>
              <w:rPr>
                <w:rFonts w:hint="eastAsia" w:ascii="宋体" w:hAnsi="宋体" w:cs="宋体"/>
                <w:color w:val="000000"/>
                <w:szCs w:val="24"/>
              </w:rPr>
              <w:t>经理：</w:t>
            </w:r>
            <w:r>
              <w:rPr>
                <w:rFonts w:hint="eastAsia" w:ascii="宋体" w:hAnsi="宋体" w:cs="宋体"/>
                <w:color w:val="000000"/>
                <w:szCs w:val="24"/>
                <w:lang w:val="en-US" w:eastAsia="zh-CN"/>
              </w:rPr>
              <w:t>刘世明</w:t>
            </w:r>
            <w:r>
              <w:rPr>
                <w:rFonts w:hint="eastAsia" w:ascii="宋体" w:hAnsi="宋体" w:cs="宋体"/>
                <w:color w:val="000000"/>
                <w:szCs w:val="24"/>
              </w:rPr>
              <w:t xml:space="preserve">       组织代表：</w:t>
            </w:r>
            <w:r>
              <w:rPr>
                <w:rFonts w:hint="eastAsia" w:ascii="宋体" w:hAnsi="宋体" w:cs="宋体"/>
                <w:color w:val="000000"/>
                <w:szCs w:val="24"/>
                <w:lang w:val="en-US" w:eastAsia="zh-CN"/>
              </w:rPr>
              <w:t>冯晟</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ascii="宋体" w:hAnsi="宋体" w:cs="宋体"/>
                <w:szCs w:val="21"/>
              </w:rPr>
            </w:pPr>
            <w:r>
              <w:rPr>
                <w:rFonts w:hint="eastAsia" w:ascii="宋体" w:hAnsi="宋体" w:cs="宋体"/>
                <w:szCs w:val="24"/>
              </w:rPr>
              <w:t>不断强调负责人制度，并制定了各部门负责人的职责、权限，并在全公司宣贯。</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2467" w:type="dxa"/>
            <w:noWrap w:val="0"/>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p>
        </w:tc>
        <w:tc>
          <w:tcPr>
            <w:tcW w:w="653" w:type="dxa"/>
            <w:noWrap w:val="0"/>
            <w:vAlign w:val="center"/>
          </w:tcPr>
          <w:p>
            <w:pPr>
              <w:rPr>
                <w:b/>
                <w:szCs w:val="22"/>
              </w:rPr>
            </w:pPr>
            <w:r>
              <w:rPr>
                <w:rFonts w:hint="eastAsia"/>
                <w:b/>
                <w:szCs w:val="22"/>
              </w:rPr>
              <w:t>5.1.2</w:t>
            </w:r>
          </w:p>
          <w:p>
            <w:pPr>
              <w:rPr>
                <w:b/>
                <w:szCs w:val="21"/>
              </w:rPr>
            </w:pP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w:t>
            </w:r>
            <w:r>
              <w:rPr>
                <w:rFonts w:hint="eastAsia" w:ascii="宋体" w:hAnsi="宋体" w:cs="宋体"/>
                <w:color w:val="000000"/>
                <w:szCs w:val="24"/>
                <w:lang w:val="en-US" w:eastAsia="zh-CN"/>
              </w:rPr>
              <w:t>研发、</w:t>
            </w:r>
            <w:r>
              <w:rPr>
                <w:rFonts w:hint="eastAsia" w:ascii="宋体" w:hAnsi="宋体" w:cs="宋体"/>
                <w:color w:val="000000"/>
                <w:szCs w:val="24"/>
              </w:rPr>
              <w:t>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5.2</w:t>
            </w:r>
          </w:p>
        </w:tc>
        <w:tc>
          <w:tcPr>
            <w:tcW w:w="10815"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pStyle w:val="8"/>
              <w:spacing w:line="360" w:lineRule="auto"/>
              <w:ind w:firstLine="420" w:firstLineChars="200"/>
              <w:jc w:val="both"/>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经营优质产品，提供完善服务，</w:t>
            </w:r>
          </w:p>
          <w:p>
            <w:pPr>
              <w:pStyle w:val="8"/>
              <w:spacing w:line="360" w:lineRule="auto"/>
              <w:ind w:firstLine="420" w:firstLineChars="200"/>
              <w:jc w:val="both"/>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不断持续改进，追求顾客满意；</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spacing w:line="360" w:lineRule="auto"/>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653" w:type="dxa"/>
            <w:noWrap w:val="0"/>
            <w:vAlign w:val="top"/>
          </w:tcPr>
          <w:p>
            <w:pPr>
              <w:rPr>
                <w:rFonts w:ascii="宋体" w:hAnsi="宋体"/>
                <w:szCs w:val="21"/>
              </w:rPr>
            </w:pPr>
            <w:r>
              <w:rPr>
                <w:rFonts w:hint="eastAsia"/>
                <w:b/>
              </w:rPr>
              <w:t>5.3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w:t>
            </w:r>
            <w:r>
              <w:rPr>
                <w:rFonts w:hint="eastAsia" w:ascii="宋体" w:hAnsi="宋体" w:cs="宋体"/>
                <w:color w:val="000000"/>
                <w:szCs w:val="24"/>
                <w:lang w:eastAsia="zh-CN"/>
              </w:rPr>
              <w:t>管理手册</w:t>
            </w:r>
            <w:r>
              <w:rPr>
                <w:rFonts w:hint="eastAsia" w:ascii="宋体" w:hAnsi="宋体" w:cs="宋体"/>
                <w:color w:val="000000"/>
                <w:szCs w:val="24"/>
              </w:rPr>
              <w:t>中确定了公司组织机构图，</w:t>
            </w:r>
            <w:r>
              <w:rPr>
                <w:rFonts w:hint="eastAsia" w:ascii="宋体" w:hAnsi="宋体" w:cs="宋体"/>
                <w:szCs w:val="24"/>
              </w:rPr>
              <w:t>策划：</w:t>
            </w:r>
            <w:r>
              <w:rPr>
                <w:rFonts w:hint="eastAsia" w:ascii="宋体" w:hAnsi="宋体" w:cs="宋体"/>
                <w:color w:val="000000"/>
                <w:szCs w:val="24"/>
                <w:lang w:eastAsia="zh-CN"/>
              </w:rPr>
              <w:t>综合管理部</w:t>
            </w:r>
            <w:r>
              <w:rPr>
                <w:rFonts w:hint="eastAsia" w:ascii="宋体" w:hAnsi="宋体" w:cs="宋体"/>
                <w:color w:val="000000"/>
                <w:szCs w:val="24"/>
              </w:rPr>
              <w:t>、</w:t>
            </w:r>
            <w:r>
              <w:rPr>
                <w:rFonts w:hint="eastAsia" w:ascii="宋体" w:hAnsi="宋体" w:cs="宋体"/>
                <w:color w:val="000000"/>
                <w:szCs w:val="24"/>
                <w:lang w:eastAsia="zh-CN"/>
              </w:rPr>
              <w:t>市场营销部</w:t>
            </w:r>
            <w:r>
              <w:rPr>
                <w:rFonts w:hint="eastAsia" w:ascii="宋体" w:hAnsi="宋体" w:cs="宋体"/>
                <w:color w:val="000000"/>
                <w:szCs w:val="24"/>
              </w:rPr>
              <w:t>、</w:t>
            </w:r>
            <w:r>
              <w:rPr>
                <w:rFonts w:hint="eastAsia" w:ascii="宋体" w:hAnsi="宋体" w:cs="宋体"/>
                <w:color w:val="000000"/>
                <w:szCs w:val="24"/>
                <w:lang w:eastAsia="zh-CN"/>
              </w:rPr>
              <w:t>技术研发部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val="en-US" w:eastAsia="zh-CN"/>
              </w:rPr>
              <w:t>冯晟</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rPr>
                <w:rFonts w:ascii="宋体" w:hAnsi="宋体"/>
                <w:szCs w:val="21"/>
              </w:rPr>
            </w:pPr>
            <w:r>
              <w:rPr>
                <w:rFonts w:hint="eastAsia" w:ascii="宋体" w:hAnsi="宋体" w:cs="宋体"/>
                <w:szCs w:val="24"/>
              </w:rPr>
              <w:t>组织发生变更时能保持体系的正常运行和完整性；</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szCs w:val="21"/>
              </w:rPr>
            </w:pPr>
          </w:p>
        </w:tc>
        <w:tc>
          <w:tcPr>
            <w:tcW w:w="653" w:type="dxa"/>
            <w:noWrap w:val="0"/>
            <w:vAlign w:val="center"/>
          </w:tcPr>
          <w:p>
            <w:pPr>
              <w:rPr>
                <w:b/>
                <w:szCs w:val="21"/>
              </w:rPr>
            </w:pPr>
            <w:r>
              <w:rPr>
                <w:rFonts w:hint="eastAsia"/>
                <w:b/>
              </w:rPr>
              <w:t>6.1</w:t>
            </w:r>
            <w:r>
              <w:rPr>
                <w:szCs w:val="21"/>
              </w:rPr>
              <w:t xml:space="preserve"> </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公司策划并批准实施《风险和机遇分析表》，内容包括风险类型、风险因素、应对风险机会及措施、现行控制方法、涉及的场所及部门等；</w:t>
            </w:r>
          </w:p>
          <w:p>
            <w:pPr>
              <w:spacing w:line="360" w:lineRule="auto"/>
              <w:rPr>
                <w:rFonts w:ascii="宋体" w:hAnsi="宋体" w:cs="宋体"/>
                <w:color w:val="000000"/>
                <w:szCs w:val="24"/>
              </w:rPr>
            </w:pPr>
            <w:r>
              <w:rPr>
                <w:rFonts w:hint="eastAsia" w:ascii="宋体" w:hAnsi="宋体" w:cs="宋体"/>
                <w:color w:val="000000"/>
                <w:szCs w:val="24"/>
              </w:rPr>
              <w:t>查见《风险和机遇评估分析表》：</w:t>
            </w:r>
          </w:p>
          <w:p>
            <w:pPr>
              <w:numPr>
                <w:ilvl w:val="0"/>
                <w:numId w:val="4"/>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4"/>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cs="宋体"/>
                <w:color w:val="000000"/>
                <w:szCs w:val="24"/>
              </w:rPr>
            </w:pPr>
            <w:r>
              <w:rPr>
                <w:rFonts w:hint="eastAsia" w:ascii="宋体" w:hAnsi="宋体" w:cs="宋体"/>
                <w:color w:val="000000"/>
                <w:szCs w:val="24"/>
              </w:rPr>
              <w:t>应对风险和机遇的措施与其对于产品和服务符合性的潜在影响相适应。</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653" w:type="dxa"/>
            <w:noWrap w:val="0"/>
            <w:vAlign w:val="top"/>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815" w:type="dxa"/>
            <w:noWrap w:val="0"/>
            <w:vAlign w:val="top"/>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numPr>
                <w:ilvl w:val="0"/>
                <w:numId w:val="0"/>
              </w:numPr>
              <w:spacing w:line="360" w:lineRule="auto"/>
              <w:jc w:val="left"/>
              <w:textAlignment w:val="baseline"/>
              <w:rPr>
                <w:rFonts w:hint="default"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1、软件开发合格率100%；           完成率100%</w:t>
            </w:r>
          </w:p>
          <w:p>
            <w:pPr>
              <w:numPr>
                <w:ilvl w:val="0"/>
                <w:numId w:val="0"/>
              </w:numPr>
              <w:spacing w:line="360" w:lineRule="auto"/>
              <w:jc w:val="left"/>
              <w:textAlignment w:val="baseline"/>
              <w:rPr>
                <w:rFonts w:hint="default"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2、顾客满意度达到90分以上；      完成率98%</w:t>
            </w:r>
          </w:p>
          <w:p>
            <w:pPr>
              <w:numPr>
                <w:ilvl w:val="0"/>
                <w:numId w:val="0"/>
              </w:numPr>
              <w:spacing w:line="360" w:lineRule="auto"/>
              <w:jc w:val="left"/>
              <w:textAlignment w:val="baseline"/>
              <w:rPr>
                <w:rFonts w:hint="eastAsia"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3、合同履约率100%                 完成率100%</w:t>
            </w:r>
          </w:p>
          <w:p>
            <w:pPr>
              <w:pStyle w:val="2"/>
              <w:rPr>
                <w:rFonts w:ascii="宋体" w:hAnsi="宋体" w:cs="宋体"/>
                <w:color w:val="000000"/>
                <w:szCs w:val="24"/>
              </w:rPr>
            </w:pPr>
            <w:r>
              <w:rPr>
                <w:rFonts w:hint="eastAsia" w:ascii="宋体" w:hAnsi="宋体" w:cs="宋体"/>
                <w:kern w:val="0"/>
                <w:sz w:val="21"/>
                <w:szCs w:val="21"/>
                <w:highlight w:val="none"/>
                <w:lang w:val="en-US" w:eastAsia="zh-CN" w:bidi="ar-SA"/>
              </w:rPr>
              <w:t>2021年1月-9月对目标进行考核，均达到目标。</w:t>
            </w:r>
            <w:r>
              <w:rPr>
                <w:rFonts w:hint="eastAsia" w:ascii="宋体" w:hAnsi="宋体" w:cs="宋体"/>
                <w:color w:val="000000"/>
                <w:szCs w:val="24"/>
              </w:rPr>
              <w:t>公司的上述质量目标与公司的质量方针保持了一致，包括了满足产品要求所需要的内容。</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467" w:type="dxa"/>
            <w:noWrap w:val="0"/>
            <w:vAlign w:val="top"/>
          </w:tcPr>
          <w:p>
            <w:pPr>
              <w:adjustRightInd w:val="0"/>
              <w:snapToGrid w:val="0"/>
              <w:jc w:val="center"/>
              <w:rPr>
                <w:rFonts w:ascii="宋体" w:hAnsi="宋体"/>
                <w:szCs w:val="21"/>
              </w:rPr>
            </w:pPr>
            <w:r>
              <w:rPr>
                <w:rFonts w:hint="eastAsia" w:ascii="宋体" w:hAnsi="宋体" w:cs="宋体"/>
                <w:szCs w:val="24"/>
              </w:rPr>
              <w:t>变更的策划</w:t>
            </w:r>
          </w:p>
        </w:tc>
        <w:tc>
          <w:tcPr>
            <w:tcW w:w="653" w:type="dxa"/>
            <w:noWrap w:val="0"/>
            <w:vAlign w:val="top"/>
          </w:tcPr>
          <w:p>
            <w:pPr>
              <w:rPr>
                <w:rFonts w:ascii="宋体" w:hAnsi="宋体"/>
                <w:szCs w:val="21"/>
              </w:rPr>
            </w:pPr>
            <w:r>
              <w:rPr>
                <w:rFonts w:hint="eastAsia"/>
                <w:b/>
              </w:rPr>
              <w:t>6.3</w:t>
            </w:r>
          </w:p>
        </w:tc>
        <w:tc>
          <w:tcPr>
            <w:tcW w:w="10815" w:type="dxa"/>
            <w:noWrap w:val="0"/>
            <w:vAlign w:val="top"/>
          </w:tcPr>
          <w:p>
            <w:pPr>
              <w:tabs>
                <w:tab w:val="center" w:pos="3169"/>
              </w:tabs>
              <w:spacing w:line="40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公司体系建立运行以来没有发生变更的情况，</w:t>
            </w:r>
            <w:r>
              <w:rPr>
                <w:rFonts w:hint="eastAsia" w:ascii="宋体" w:hAnsi="宋体" w:cs="宋体"/>
                <w:color w:val="auto"/>
                <w:szCs w:val="21"/>
                <w:highlight w:val="none"/>
              </w:rPr>
              <w:t>当公司质量管理体系变更时，应考虑：</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1.变更的目的及潜在后果；</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为了全过程控制，达到顾客要求，适应发展需要。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2.体系的完整性；</w:t>
            </w:r>
          </w:p>
          <w:p>
            <w:pPr>
              <w:tabs>
                <w:tab w:val="center" w:pos="3169"/>
              </w:tabs>
              <w:spacing w:line="40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公司体系文件管理手册、程序文件、内部审核、管理评审等均涵盖了公司的整个过程，</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3.资源的可获得性；</w:t>
            </w:r>
          </w:p>
          <w:p>
            <w:pPr>
              <w:tabs>
                <w:tab w:val="center" w:pos="3169"/>
              </w:tabs>
              <w:spacing w:line="40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公司资源包含了人员、设备、环境、资金等均能满足。</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4.责权的分配和再分配等因素。  </w:t>
            </w:r>
          </w:p>
          <w:p>
            <w:pPr>
              <w:spacing w:line="360" w:lineRule="atLeast"/>
              <w:rPr>
                <w:rFonts w:ascii="宋体" w:hAnsi="宋体"/>
                <w:szCs w:val="21"/>
              </w:rPr>
            </w:pPr>
            <w:r>
              <w:rPr>
                <w:rFonts w:hint="eastAsia" w:ascii="宋体" w:hAnsi="宋体" w:cs="宋体"/>
                <w:color w:val="auto"/>
                <w:szCs w:val="21"/>
                <w:highlight w:val="none"/>
                <w:lang w:val="en-US" w:eastAsia="zh-CN"/>
              </w:rPr>
              <w:t>公司责权分明，设置了综合管理部、市场营销部、技术研发部等。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653" w:type="dxa"/>
            <w:noWrap w:val="0"/>
            <w:vAlign w:val="top"/>
          </w:tcPr>
          <w:p>
            <w:pPr>
              <w:rPr>
                <w:rFonts w:ascii="宋体" w:hAnsi="宋体" w:cs="宋体"/>
                <w:szCs w:val="21"/>
              </w:rPr>
            </w:pPr>
            <w:r>
              <w:rPr>
                <w:rFonts w:hint="eastAsia"/>
                <w:b/>
              </w:rPr>
              <w:t>7.1.1</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uto"/>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adjustRightInd w:val="0"/>
              <w:snapToGrid w:val="0"/>
              <w:jc w:val="center"/>
              <w:rPr>
                <w:rFonts w:ascii="宋体" w:hAnsi="宋体" w:cs="宋体"/>
                <w:color w:val="000000"/>
                <w:spacing w:val="-4"/>
                <w:szCs w:val="21"/>
              </w:rPr>
            </w:pPr>
            <w:r>
              <w:rPr>
                <w:rFonts w:hint="eastAsia" w:ascii="宋体" w:hAnsi="宋体" w:cs="宋体"/>
                <w:szCs w:val="24"/>
              </w:rPr>
              <w:t>组织的知识</w:t>
            </w:r>
          </w:p>
        </w:tc>
        <w:tc>
          <w:tcPr>
            <w:tcW w:w="653" w:type="dxa"/>
            <w:noWrap w:val="0"/>
            <w:vAlign w:val="top"/>
          </w:tcPr>
          <w:p>
            <w:pPr>
              <w:rPr>
                <w:b/>
              </w:rPr>
            </w:pPr>
            <w:r>
              <w:rPr>
                <w:rFonts w:hint="eastAsia"/>
                <w:b/>
              </w:rPr>
              <w:t>7.1.6</w:t>
            </w:r>
          </w:p>
        </w:tc>
        <w:tc>
          <w:tcPr>
            <w:tcW w:w="10815" w:type="dxa"/>
            <w:noWrap w:val="0"/>
            <w:vAlign w:val="top"/>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360" w:lineRule="auto"/>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67" w:type="dxa"/>
            <w:noWrap w:val="0"/>
            <w:vAlign w:val="top"/>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pacing w:val="-4"/>
                <w:szCs w:val="21"/>
              </w:rPr>
            </w:pPr>
          </w:p>
        </w:tc>
        <w:tc>
          <w:tcPr>
            <w:tcW w:w="653" w:type="dxa"/>
            <w:noWrap w:val="0"/>
            <w:vAlign w:val="top"/>
          </w:tcPr>
          <w:p>
            <w:pPr>
              <w:rPr>
                <w:b/>
              </w:rPr>
            </w:pPr>
            <w:r>
              <w:rPr>
                <w:rFonts w:hint="eastAsia"/>
                <w:b/>
              </w:rPr>
              <w:t>7.4</w:t>
            </w:r>
          </w:p>
        </w:tc>
        <w:tc>
          <w:tcPr>
            <w:tcW w:w="10815" w:type="dxa"/>
            <w:noWrap w:val="0"/>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对顾客提出的一般问题，由售后人员负责解决，或公司派人到现场去查看，确属公司产品质量问题的，给与处理，采取退、换措施。</w:t>
            </w:r>
          </w:p>
          <w:p>
            <w:pPr>
              <w:rPr>
                <w:rFonts w:ascii="宋体" w:hAnsi="宋体" w:cs="宋体"/>
                <w:color w:val="000000"/>
                <w:szCs w:val="24"/>
              </w:rPr>
            </w:pPr>
            <w:r>
              <w:rPr>
                <w:rFonts w:hint="eastAsia" w:ascii="宋体" w:hAnsi="宋体" w:cs="宋体"/>
                <w:color w:val="000000"/>
                <w:szCs w:val="24"/>
              </w:rPr>
              <w:t>自体系运行以来，没有发生严重的顾客投诉事件。</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7" w:type="dxa"/>
            <w:noWrap w:val="0"/>
            <w:vAlign w:val="top"/>
          </w:tcPr>
          <w:p>
            <w:pPr>
              <w:spacing w:line="360" w:lineRule="auto"/>
              <w:rPr>
                <w:rFonts w:hint="eastAsia" w:ascii="宋体" w:hAnsi="宋体" w:cs="宋体"/>
                <w:color w:val="000000"/>
                <w:szCs w:val="24"/>
              </w:rPr>
            </w:pPr>
            <w:r>
              <w:rPr>
                <w:rFonts w:hint="eastAsia" w:ascii="宋体" w:hAnsi="宋体" w:cs="宋体"/>
                <w:color w:val="000000"/>
                <w:szCs w:val="24"/>
              </w:rPr>
              <w:t>总则</w:t>
            </w:r>
          </w:p>
        </w:tc>
        <w:tc>
          <w:tcPr>
            <w:tcW w:w="653" w:type="dxa"/>
            <w:noWrap w:val="0"/>
            <w:vAlign w:val="top"/>
          </w:tcPr>
          <w:p>
            <w:pPr>
              <w:rPr>
                <w:b/>
              </w:rPr>
            </w:pPr>
            <w:r>
              <w:rPr>
                <w:rFonts w:hint="eastAsia"/>
                <w:b/>
              </w:rPr>
              <w:t>9.1.1</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653" w:type="dxa"/>
            <w:noWrap w:val="0"/>
            <w:vAlign w:val="top"/>
          </w:tcPr>
          <w:p>
            <w:pPr>
              <w:rPr>
                <w:b/>
              </w:rPr>
            </w:pPr>
            <w:r>
              <w:rPr>
                <w:rFonts w:hint="eastAsia"/>
                <w:b/>
              </w:rPr>
              <w:t>9.3</w:t>
            </w:r>
          </w:p>
        </w:tc>
        <w:tc>
          <w:tcPr>
            <w:tcW w:w="10815" w:type="dxa"/>
            <w:noWrap w:val="0"/>
            <w:vAlign w:val="top"/>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本次评审时间：20</w:t>
            </w:r>
            <w:r>
              <w:rPr>
                <w:rFonts w:hint="eastAsia" w:ascii="宋体" w:hAnsi="宋体" w:cs="宋体"/>
                <w:szCs w:val="24"/>
                <w:lang w:val="en-US" w:eastAsia="zh-CN"/>
              </w:rPr>
              <w:t>21年03月28日</w:t>
            </w:r>
          </w:p>
          <w:p>
            <w:pPr>
              <w:spacing w:line="360" w:lineRule="auto"/>
              <w:ind w:firstLine="420" w:firstLineChars="200"/>
              <w:rPr>
                <w:rFonts w:ascii="宋体" w:hAnsi="宋体"/>
              </w:rPr>
            </w:pPr>
            <w:r>
              <w:rPr>
                <w:rFonts w:hint="eastAsia" w:ascii="宋体" w:hAnsi="宋体" w:cs="宋体"/>
                <w:color w:val="000000"/>
                <w:szCs w:val="24"/>
              </w:rPr>
              <w:t>主持人：</w:t>
            </w:r>
            <w:r>
              <w:rPr>
                <w:rFonts w:hint="eastAsia" w:ascii="宋体" w:hAnsi="宋体"/>
                <w:kern w:val="0"/>
                <w:szCs w:val="21"/>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rPr>
                <w:rFonts w:hint="eastAsia" w:ascii="宋体" w:hAnsi="宋体" w:cs="宋体"/>
                <w:szCs w:val="21"/>
              </w:rPr>
            </w:pPr>
            <w:r>
              <w:rPr>
                <w:rFonts w:hint="eastAsia" w:ascii="宋体" w:hAnsi="宋体" w:cs="宋体"/>
                <w:szCs w:val="21"/>
                <w:lang w:val="en-US" w:eastAsia="zh-CN"/>
              </w:rPr>
              <w:t>查</w:t>
            </w:r>
            <w:r>
              <w:rPr>
                <w:rFonts w:hint="eastAsia" w:ascii="宋体" w:hAnsi="宋体" w:cs="宋体"/>
                <w:szCs w:val="21"/>
              </w:rPr>
              <w:t>改进建议：</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1、</w:t>
            </w:r>
            <w:r>
              <w:rPr>
                <w:rFonts w:hint="eastAsia" w:ascii="宋体" w:hAnsi="宋体" w:cs="宋体"/>
                <w:szCs w:val="21"/>
                <w:lang w:eastAsia="zh-CN"/>
              </w:rPr>
              <w:t>加强对实施有效性的审核，对不理解和不按文件规定实施的环节进行培训和考核，；</w:t>
            </w:r>
          </w:p>
          <w:p>
            <w:pPr>
              <w:spacing w:line="360" w:lineRule="auto"/>
              <w:ind w:firstLine="420" w:firstLineChars="200"/>
              <w:rPr>
                <w:rFonts w:hint="eastAsia" w:ascii="宋体" w:hAnsi="宋体" w:cs="宋体"/>
                <w:color w:val="000000"/>
                <w:szCs w:val="24"/>
              </w:rPr>
            </w:pPr>
            <w:r>
              <w:rPr>
                <w:rFonts w:hint="eastAsia" w:ascii="宋体" w:hAnsi="宋体" w:cs="宋体"/>
                <w:szCs w:val="21"/>
                <w:lang w:val="en-US" w:eastAsia="zh-CN"/>
              </w:rPr>
              <w:t>2、</w:t>
            </w:r>
            <w:r>
              <w:rPr>
                <w:rFonts w:hint="eastAsia" w:ascii="宋体" w:hAnsi="宋体" w:cs="宋体"/>
                <w:szCs w:val="21"/>
                <w:lang w:eastAsia="zh-CN"/>
              </w:rPr>
              <w:t>通过对体系的进一步实施，努力提高全体员工的质量意识和工作的责任心。</w:t>
            </w:r>
          </w:p>
          <w:p>
            <w:pPr>
              <w:spacing w:line="360" w:lineRule="atLeast"/>
              <w:rPr>
                <w:rFonts w:hint="eastAsia" w:ascii="宋体" w:hAnsi="宋体" w:cs="宋体"/>
                <w:color w:val="000000"/>
                <w:szCs w:val="24"/>
              </w:rPr>
            </w:pPr>
            <w:r>
              <w:rPr>
                <w:rFonts w:hint="eastAsia" w:ascii="宋体" w:hAnsi="宋体" w:cs="宋体"/>
                <w:color w:val="000000"/>
                <w:szCs w:val="24"/>
              </w:rPr>
              <w:t>管理评审输出：</w:t>
            </w:r>
          </w:p>
          <w:p>
            <w:pPr>
              <w:spacing w:line="360" w:lineRule="atLeast"/>
              <w:ind w:firstLine="420" w:firstLineChars="200"/>
              <w:rPr>
                <w:rFonts w:hint="eastAsia" w:ascii="宋体" w:hAnsi="宋体"/>
                <w:szCs w:val="21"/>
              </w:rPr>
            </w:pPr>
            <w:r>
              <w:rPr>
                <w:rFonts w:hint="eastAsia" w:ascii="宋体" w:hAnsi="宋体"/>
                <w:szCs w:val="21"/>
              </w:rPr>
              <w:t>1﹑质量管理体系有效性的改进：公司全体人员加强对</w:t>
            </w:r>
            <w:r>
              <w:rPr>
                <w:rFonts w:ascii="宋体" w:hAnsi="宋体"/>
                <w:szCs w:val="21"/>
              </w:rPr>
              <w:t>ISO9001:2015</w:t>
            </w:r>
            <w:r>
              <w:rPr>
                <w:rFonts w:hint="eastAsia" w:ascii="宋体" w:hAnsi="宋体"/>
                <w:szCs w:val="21"/>
              </w:rPr>
              <w:t>《质量管理体系 要求》的培训，由</w:t>
            </w:r>
            <w:r>
              <w:rPr>
                <w:rFonts w:hint="eastAsia" w:ascii="宋体" w:hAnsi="宋体"/>
                <w:szCs w:val="21"/>
                <w:lang w:eastAsia="zh-CN"/>
              </w:rPr>
              <w:t>综合管理部</w:t>
            </w:r>
            <w:r>
              <w:rPr>
                <w:rFonts w:hint="eastAsia" w:ascii="宋体" w:hAnsi="宋体"/>
                <w:szCs w:val="21"/>
              </w:rPr>
              <w:t>具体负责。</w:t>
            </w:r>
          </w:p>
          <w:p>
            <w:pPr>
              <w:spacing w:line="360" w:lineRule="atLeast"/>
              <w:ind w:firstLine="420" w:firstLineChars="200"/>
              <w:rPr>
                <w:rFonts w:hint="eastAsia" w:ascii="宋体" w:hAnsi="宋体"/>
                <w:szCs w:val="21"/>
              </w:rPr>
            </w:pPr>
            <w:r>
              <w:rPr>
                <w:rFonts w:hint="eastAsia" w:ascii="宋体" w:hAnsi="宋体"/>
                <w:szCs w:val="21"/>
              </w:rPr>
              <w:t>2﹑过程有效性的改进：公司实际情况增加对质量目标的考核次数。提高质量目标考核的实效性。由</w:t>
            </w:r>
            <w:r>
              <w:rPr>
                <w:rFonts w:hint="eastAsia" w:ascii="宋体" w:hAnsi="宋体"/>
                <w:szCs w:val="21"/>
                <w:lang w:eastAsia="zh-CN"/>
              </w:rPr>
              <w:t>综合管理部</w:t>
            </w:r>
            <w:r>
              <w:rPr>
                <w:rFonts w:hint="eastAsia" w:ascii="宋体" w:hAnsi="宋体"/>
                <w:szCs w:val="21"/>
              </w:rPr>
              <w:t xml:space="preserve">具体负责。 </w:t>
            </w:r>
          </w:p>
          <w:p>
            <w:pPr>
              <w:spacing w:line="360" w:lineRule="auto"/>
              <w:ind w:firstLine="420" w:firstLineChars="200"/>
              <w:rPr>
                <w:rFonts w:ascii="宋体" w:hAnsi="宋体" w:cs="宋体"/>
                <w:color w:val="000000"/>
                <w:szCs w:val="24"/>
              </w:rPr>
            </w:pPr>
            <w:r>
              <w:rPr>
                <w:rFonts w:hint="eastAsia" w:ascii="宋体" w:hAnsi="宋体"/>
                <w:szCs w:val="21"/>
                <w:lang w:val="en-US" w:eastAsia="zh-CN"/>
              </w:rPr>
              <w:t>3</w:t>
            </w:r>
            <w:r>
              <w:rPr>
                <w:rFonts w:hint="eastAsia" w:ascii="宋体" w:hAnsi="宋体"/>
                <w:szCs w:val="21"/>
              </w:rPr>
              <w:t>.资源需求：目前公司人员配备齐全，但还需要技能培训，由</w:t>
            </w:r>
            <w:r>
              <w:rPr>
                <w:rFonts w:hint="eastAsia" w:ascii="宋体" w:hAnsi="宋体"/>
                <w:szCs w:val="21"/>
                <w:lang w:eastAsia="zh-CN"/>
              </w:rPr>
              <w:t>综合管理部</w:t>
            </w:r>
            <w:r>
              <w:rPr>
                <w:rFonts w:hint="eastAsia" w:ascii="宋体" w:hAnsi="宋体"/>
                <w:szCs w:val="21"/>
              </w:rPr>
              <w:t>负责。</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rPr>
                <w:rFonts w:ascii="宋体" w:hAnsi="宋体" w:cs="宋体"/>
                <w:szCs w:val="24"/>
              </w:rPr>
            </w:pPr>
            <w:r>
              <w:rPr>
                <w:rFonts w:hint="eastAsia" w:ascii="宋体" w:hAnsi="宋体" w:cs="宋体"/>
                <w:color w:val="000000"/>
                <w:szCs w:val="24"/>
              </w:rPr>
              <w:t>公司经过</w:t>
            </w:r>
            <w:r>
              <w:rPr>
                <w:rFonts w:hint="eastAsia" w:ascii="宋体" w:hAnsi="宋体" w:cs="宋体"/>
                <w:color w:val="000000"/>
                <w:szCs w:val="24"/>
                <w:lang w:val="en-US" w:eastAsia="zh-CN"/>
              </w:rPr>
              <w:t>研发</w:t>
            </w:r>
            <w:r>
              <w:rPr>
                <w:rFonts w:hint="eastAsia" w:ascii="宋体" w:hAnsi="宋体" w:cs="宋体"/>
                <w:color w:val="000000"/>
                <w:szCs w:val="24"/>
              </w:rPr>
              <w:t>，目前产品已按要求提交客户。经过严格的检验，所有产品均客户订货要求。</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653" w:type="dxa"/>
            <w:noWrap w:val="0"/>
            <w:vAlign w:val="top"/>
          </w:tcPr>
          <w:p>
            <w:pPr>
              <w:rPr>
                <w:b/>
              </w:rPr>
            </w:pPr>
            <w:r>
              <w:rPr>
                <w:rFonts w:hint="eastAsia"/>
                <w:b/>
              </w:rPr>
              <w:t>10.1</w:t>
            </w:r>
          </w:p>
        </w:tc>
        <w:tc>
          <w:tcPr>
            <w:tcW w:w="10815" w:type="dxa"/>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公司制定系列程序文件《管理评审控制程序》、《</w:t>
            </w:r>
            <w:r>
              <w:rPr>
                <w:rFonts w:hint="eastAsia"/>
                <w:szCs w:val="21"/>
              </w:rPr>
              <w:t>不合格品控制程序</w:t>
            </w:r>
            <w:r>
              <w:rPr>
                <w:rFonts w:hint="eastAsia" w:ascii="宋体" w:hAnsi="宋体" w:cs="宋体"/>
                <w:color w:val="000000"/>
                <w:szCs w:val="24"/>
              </w:rPr>
              <w:t>》、《内部审核控制程序》，《</w:t>
            </w:r>
            <w:r>
              <w:rPr>
                <w:rFonts w:hint="eastAsia"/>
                <w:szCs w:val="21"/>
              </w:rPr>
              <w:t>纠正措施控制程序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467"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653" w:type="dxa"/>
            <w:noWrap w:val="0"/>
            <w:vAlign w:val="top"/>
          </w:tcPr>
          <w:p>
            <w:pPr>
              <w:rPr>
                <w:b/>
              </w:rPr>
            </w:pPr>
            <w:r>
              <w:rPr>
                <w:rFonts w:hint="eastAsia"/>
                <w:b/>
              </w:rPr>
              <w:t>10.3</w:t>
            </w:r>
          </w:p>
        </w:tc>
        <w:tc>
          <w:tcPr>
            <w:tcW w:w="10815" w:type="dxa"/>
            <w:noWrap w:val="0"/>
            <w:vAlign w:val="top"/>
          </w:tcPr>
          <w:p>
            <w:pPr>
              <w:spacing w:line="360" w:lineRule="auto"/>
              <w:ind w:firstLine="420" w:firstLineChars="200"/>
              <w:rPr>
                <w:rFonts w:ascii="宋体" w:hAnsi="宋体" w:cs="宋体"/>
                <w:szCs w:val="24"/>
              </w:rPr>
            </w:pPr>
            <w:r>
              <w:rPr>
                <w:rFonts w:hint="eastAsia" w:ascii="宋体" w:hAnsi="宋体" w:cs="宋体"/>
                <w:color w:val="000000"/>
                <w:szCs w:val="24"/>
              </w:rPr>
              <w:t>公司主要按策划的</w:t>
            </w:r>
            <w:r>
              <w:rPr>
                <w:rFonts w:hint="eastAsia" w:ascii="宋体" w:hAnsi="宋体" w:cs="宋体"/>
                <w:color w:val="000000"/>
                <w:szCs w:val="24"/>
                <w:lang w:eastAsia="zh-CN"/>
              </w:rPr>
              <w:t>管理手册</w:t>
            </w:r>
            <w:r>
              <w:rPr>
                <w:rFonts w:hint="eastAsia" w:ascii="宋体" w:hAnsi="宋体" w:cs="宋体"/>
                <w:color w:val="000000"/>
                <w:szCs w:val="24"/>
              </w:rPr>
              <w:t>、程序文件等实施运行，主要采用内审、管理评审、数据分析、纠正和预防措施、质量方针和目标等来实现对质量管理体系的改进，另外主要通过日常工作中发现的问题及时予以调整解决来实现。</w:t>
            </w:r>
          </w:p>
        </w:tc>
        <w:tc>
          <w:tcPr>
            <w:tcW w:w="77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67" w:type="dxa"/>
            <w:noWrap w:val="0"/>
            <w:vAlign w:val="top"/>
          </w:tcPr>
          <w:p>
            <w:pPr>
              <w:adjustRightInd w:val="0"/>
              <w:snapToGrid w:val="0"/>
              <w:rPr>
                <w:rFonts w:ascii="宋体" w:hAnsi="宋体" w:cs="宋体"/>
                <w:szCs w:val="24"/>
              </w:rPr>
            </w:pPr>
            <w:r>
              <w:rPr>
                <w:rFonts w:hint="eastAsia" w:ascii="宋体" w:hAnsi="宋体" w:eastAsia="宋体" w:cs="新宋体"/>
                <w:sz w:val="21"/>
                <w:szCs w:val="21"/>
              </w:rPr>
              <w:t>范围的确认，资质的确认，管理体系变化情况</w:t>
            </w:r>
            <w:r>
              <w:rPr>
                <w:rFonts w:hint="eastAsia" w:ascii="宋体" w:hAnsi="宋体" w:eastAsia="宋体" w:cs="新宋体"/>
                <w:sz w:val="21"/>
                <w:szCs w:val="21"/>
                <w:lang w:eastAsia="zh-CN"/>
              </w:rPr>
              <w:t>，</w:t>
            </w:r>
            <w:r>
              <w:rPr>
                <w:rFonts w:hint="eastAsia" w:ascii="宋体" w:hAnsi="宋体" w:eastAsia="宋体" w:cs="新宋体"/>
                <w:sz w:val="21"/>
                <w:szCs w:val="21"/>
              </w:rPr>
              <w:t>法律法规执行情况，重大质量事故，及顾客投诉和质量监督抽查情况，环境安全投诉，上次不符合验证。</w:t>
            </w:r>
          </w:p>
        </w:tc>
        <w:tc>
          <w:tcPr>
            <w:tcW w:w="653" w:type="dxa"/>
            <w:noWrap w:val="0"/>
            <w:vAlign w:val="top"/>
          </w:tcPr>
          <w:p>
            <w:pPr>
              <w:rPr>
                <w:b/>
              </w:rPr>
            </w:pPr>
          </w:p>
        </w:tc>
        <w:tc>
          <w:tcPr>
            <w:tcW w:w="10815" w:type="dxa"/>
            <w:noWrap w:val="0"/>
            <w:vAlign w:val="top"/>
          </w:tcPr>
          <w:p>
            <w:pPr>
              <w:spacing w:line="360" w:lineRule="auto"/>
              <w:jc w:val="left"/>
              <w:rPr>
                <w:rFonts w:hint="eastAsia"/>
              </w:rPr>
            </w:pPr>
            <w:r>
              <w:rPr>
                <w:rFonts w:hint="eastAsia"/>
              </w:rPr>
              <w:t>现场确认，公司质量管理体系覆盖范围：</w:t>
            </w:r>
          </w:p>
          <w:p>
            <w:pPr>
              <w:spacing w:line="360" w:lineRule="auto"/>
              <w:ind w:firstLine="420" w:firstLineChars="200"/>
              <w:jc w:val="left"/>
              <w:rPr>
                <w:rFonts w:hint="eastAsia"/>
                <w:lang w:val="en-US" w:eastAsia="zh-CN"/>
              </w:rPr>
            </w:pPr>
            <w:r>
              <w:rPr>
                <w:rFonts w:hint="eastAsia"/>
                <w:lang w:val="en-US" w:eastAsia="zh-CN"/>
              </w:rPr>
              <w:t>振动（在线、离线）监测系统的软件、硬件开发及销售</w:t>
            </w:r>
          </w:p>
          <w:p>
            <w:pPr>
              <w:spacing w:line="360" w:lineRule="auto"/>
              <w:ind w:firstLine="420" w:firstLineChars="200"/>
              <w:jc w:val="left"/>
            </w:pPr>
            <w:r>
              <w:rPr>
                <w:rFonts w:hint="eastAsia"/>
              </w:rPr>
              <w:t>提供营业执照（三证合一），检查有效，公司严格执行国标及行业要求和法律、法规要求。</w:t>
            </w:r>
          </w:p>
          <w:p>
            <w:pPr>
              <w:spacing w:line="360" w:lineRule="auto"/>
              <w:ind w:firstLine="420" w:firstLineChars="200"/>
              <w:jc w:val="left"/>
            </w:pPr>
            <w:r>
              <w:rPr>
                <w:rFonts w:hint="eastAsia"/>
              </w:rPr>
              <w:t>20</w:t>
            </w:r>
            <w:r>
              <w:rPr>
                <w:rFonts w:hint="eastAsia"/>
                <w:lang w:val="en-US" w:eastAsia="zh-CN"/>
              </w:rPr>
              <w:t>21</w:t>
            </w:r>
            <w:r>
              <w:rPr>
                <w:rFonts w:hint="eastAsia"/>
              </w:rPr>
              <w:t>年</w:t>
            </w:r>
            <w:r>
              <w:rPr>
                <w:rFonts w:hint="eastAsia"/>
                <w:lang w:val="en-US" w:eastAsia="zh-CN"/>
              </w:rPr>
              <w:t>1</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rPr>
                <w:rFonts w:hint="eastAsia"/>
              </w:rPr>
            </w:pPr>
            <w:r>
              <w:rPr>
                <w:rFonts w:hint="eastAsia"/>
              </w:rPr>
              <w:t>该公司在20</w:t>
            </w:r>
            <w:r>
              <w:rPr>
                <w:rFonts w:hint="eastAsia"/>
                <w:lang w:val="en-US" w:eastAsia="zh-CN"/>
              </w:rPr>
              <w:t>21</w:t>
            </w:r>
            <w:r>
              <w:rPr>
                <w:rFonts w:hint="eastAsia"/>
              </w:rPr>
              <w:t>年</w:t>
            </w:r>
            <w:r>
              <w:rPr>
                <w:rFonts w:hint="eastAsia"/>
                <w:lang w:val="en-US" w:eastAsia="zh-CN"/>
              </w:rPr>
              <w:t>以</w:t>
            </w:r>
            <w:r>
              <w:rPr>
                <w:rFonts w:hint="eastAsia"/>
              </w:rPr>
              <w:t>来，无质量监督抽查情况。</w:t>
            </w:r>
          </w:p>
          <w:p>
            <w:pPr>
              <w:pStyle w:val="2"/>
              <w:rPr>
                <w:rFonts w:hint="default" w:eastAsia="宋体"/>
                <w:lang w:val="en-US" w:eastAsia="zh-CN"/>
              </w:rPr>
            </w:pPr>
            <w:r>
              <w:rPr>
                <w:rFonts w:hint="eastAsia" w:ascii="宋体" w:hAnsi="宋体" w:cs="宋体"/>
                <w:szCs w:val="24"/>
                <w:lang w:val="en-US" w:eastAsia="zh-CN"/>
              </w:rPr>
              <w:t>对上次不符</w:t>
            </w:r>
            <w:r>
              <w:rPr>
                <w:rFonts w:hint="eastAsia" w:ascii="Times New Roman" w:hAnsi="Times New Roman" w:eastAsia="宋体" w:cs="Times New Roman"/>
                <w:bCs w:val="0"/>
                <w:spacing w:val="0"/>
                <w:kern w:val="2"/>
                <w:sz w:val="21"/>
                <w:lang w:val="en-US" w:eastAsia="zh-CN" w:bidi="ar-SA"/>
              </w:rPr>
              <w:t>合“查在用检具的检定和校准，数字信号发生器，设备型号：MY5800793，4位半数字万用表，生产厂家：福禄克，均未进行年度校准工作”</w:t>
            </w:r>
            <w:r>
              <w:rPr>
                <w:rFonts w:hint="eastAsia" w:cs="Times New Roman"/>
                <w:bCs w:val="0"/>
                <w:spacing w:val="0"/>
                <w:kern w:val="2"/>
                <w:sz w:val="21"/>
                <w:lang w:val="en-US" w:eastAsia="zh-CN" w:bidi="ar-SA"/>
              </w:rPr>
              <w:t>进行验证，不符合措施落实有效。</w:t>
            </w:r>
          </w:p>
        </w:tc>
        <w:tc>
          <w:tcPr>
            <w:tcW w:w="774" w:type="dxa"/>
            <w:noWrap w:val="0"/>
            <w:vAlign w:val="top"/>
          </w:tcPr>
          <w:p>
            <w:r>
              <w:rPr>
                <w:rFonts w:hint="eastAsia"/>
                <w:lang w:val="en-US" w:eastAsia="zh-CN"/>
              </w:rPr>
              <w:t>符合</w:t>
            </w:r>
          </w:p>
        </w:tc>
      </w:tr>
    </w:tbl>
    <w:p>
      <w:pPr>
        <w:jc w:val="center"/>
      </w:pPr>
    </w:p>
    <w:p>
      <w:pPr>
        <w:pStyle w:val="10"/>
        <w:rPr>
          <w:rFonts w:hint="eastAsia"/>
        </w:rPr>
      </w:pPr>
      <w:r>
        <w:rPr>
          <w:rFonts w:hint="eastAsia"/>
        </w:rPr>
        <w:t>说明：不符合标注N</w:t>
      </w: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13"/>
        <w:tblpPr w:leftFromText="180" w:rightFromText="180" w:vertAnchor="text" w:horzAnchor="page" w:tblpX="1043" w:tblpY="203"/>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535" w:type="dxa"/>
            <w:noWrap w:val="0"/>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技术研发部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汪斌</w:t>
            </w:r>
            <w:r>
              <w:rPr>
                <w:rFonts w:hint="eastAsia"/>
                <w:sz w:val="24"/>
                <w:lang w:val="en-US" w:eastAsia="zh-CN"/>
              </w:rPr>
              <w:t xml:space="preserve">   </w:t>
            </w:r>
            <w:r>
              <w:rPr>
                <w:rFonts w:hint="eastAsia"/>
                <w:sz w:val="24"/>
                <w:szCs w:val="24"/>
              </w:rPr>
              <w:t xml:space="preserve">     陪同人员：</w:t>
            </w:r>
            <w:r>
              <w:rPr>
                <w:rFonts w:hint="eastAsia"/>
                <w:sz w:val="24"/>
                <w:szCs w:val="24"/>
                <w:lang w:val="en-US" w:eastAsia="zh-CN"/>
              </w:rPr>
              <w:t>冯晟</w:t>
            </w:r>
          </w:p>
        </w:tc>
        <w:tc>
          <w:tcPr>
            <w:tcW w:w="1054"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535" w:type="dxa"/>
            <w:noWrap w:val="0"/>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lang w:val="de-DE" w:eastAsia="zh-CN"/>
              </w:rPr>
              <w:t>漆林</w:t>
            </w:r>
            <w:r>
              <w:rPr>
                <w:rFonts w:hint="eastAsia"/>
                <w:sz w:val="24"/>
                <w:szCs w:val="24"/>
                <w:lang w:val="en-US" w:eastAsia="zh-CN"/>
              </w:rPr>
              <w:t xml:space="preserve">             </w:t>
            </w:r>
            <w:r>
              <w:rPr>
                <w:rFonts w:hint="eastAsia"/>
                <w:sz w:val="24"/>
                <w:szCs w:val="24"/>
              </w:rPr>
              <w:t xml:space="preserve"> 审核时间：</w:t>
            </w:r>
            <w:r>
              <w:rPr>
                <w:rFonts w:hint="eastAsia"/>
                <w:sz w:val="24"/>
                <w:szCs w:val="24"/>
                <w:lang w:val="en-US" w:eastAsia="zh-CN"/>
              </w:rPr>
              <w:t>2021.11.15</w:t>
            </w:r>
          </w:p>
        </w:tc>
        <w:tc>
          <w:tcPr>
            <w:tcW w:w="105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tc>
        <w:tc>
          <w:tcPr>
            <w:tcW w:w="960" w:type="dxa"/>
            <w:vMerge w:val="continue"/>
            <w:noWrap w:val="0"/>
            <w:vAlign w:val="center"/>
          </w:tcPr>
          <w:p/>
        </w:tc>
        <w:tc>
          <w:tcPr>
            <w:tcW w:w="10535" w:type="dxa"/>
            <w:noWrap w:val="0"/>
            <w:vAlign w:val="center"/>
          </w:tcPr>
          <w:p>
            <w:pPr>
              <w:rPr>
                <w:sz w:val="24"/>
                <w:szCs w:val="24"/>
              </w:rPr>
            </w:pPr>
            <w:r>
              <w:rPr>
                <w:rFonts w:hint="eastAsia"/>
                <w:sz w:val="24"/>
                <w:szCs w:val="24"/>
              </w:rPr>
              <w:t>审核条款：</w:t>
            </w:r>
          </w:p>
        </w:tc>
        <w:tc>
          <w:tcPr>
            <w:tcW w:w="1054"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宋体"/>
                <w:b/>
                <w:szCs w:val="21"/>
              </w:rPr>
              <w:t>5.3</w:t>
            </w:r>
          </w:p>
        </w:tc>
        <w:tc>
          <w:tcPr>
            <w:tcW w:w="10535" w:type="dxa"/>
            <w:noWrap w:val="0"/>
            <w:vAlign w:val="top"/>
          </w:tcPr>
          <w:p>
            <w:pPr>
              <w:spacing w:line="400" w:lineRule="atLeast"/>
              <w:ind w:firstLine="420" w:firstLineChars="200"/>
              <w:rPr>
                <w:rFonts w:ascii="宋体" w:hAnsi="宋体"/>
                <w:color w:val="1F497D"/>
                <w:szCs w:val="21"/>
              </w:rPr>
            </w:pPr>
            <w:r>
              <w:rPr>
                <w:rFonts w:hint="eastAsia" w:ascii="宋体" w:hAnsi="宋体"/>
                <w:szCs w:val="21"/>
              </w:rPr>
              <w:t>查《岗位职责》，已经明确了</w:t>
            </w:r>
            <w:r>
              <w:rPr>
                <w:rFonts w:hint="eastAsia" w:ascii="宋体" w:hAnsi="宋体"/>
                <w:szCs w:val="21"/>
                <w:lang w:eastAsia="zh-CN"/>
              </w:rPr>
              <w:t>技术研发部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 xml:space="preserve">（1）、负责办公区域软件研发、会议现场布置等工作。   </w:t>
            </w:r>
          </w:p>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（2）、负责部门管理目标制订和完成。</w:t>
            </w:r>
          </w:p>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（3）、负责建立和完善内部相关管理管理制度与岗位职责。</w:t>
            </w:r>
          </w:p>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（4）、参与重大不合格问题的原因分析、制定和实施相关纠正措施。</w:t>
            </w:r>
          </w:p>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（5）、负责研发过程使用的设备、设施的管理工作。</w:t>
            </w:r>
          </w:p>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（6）、制定软件质量检验标准，对公司采购品和软件质量控制负责。</w:t>
            </w:r>
          </w:p>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（7）、组织实施质量统计，对统计数据的真实性、可靠性负责。</w:t>
            </w:r>
          </w:p>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（8）、有对各类软件质量事故进行调查，分析和提出处理意见权。</w:t>
            </w:r>
          </w:p>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（9）、定期通报各有关部门质量检查结果，对存在的质量问题制订纠正和预防措施并组织实施。</w:t>
            </w:r>
          </w:p>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（10）负责公司新软件、新技术的调研、论证、开发、设计工作。</w:t>
            </w:r>
          </w:p>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（11）负责设计的变更、评审及修改工作，及时满足研发的需要</w:t>
            </w:r>
          </w:p>
          <w:p>
            <w:pPr>
              <w:spacing w:line="320" w:lineRule="exact"/>
              <w:textAlignment w:val="baseline"/>
              <w:rPr>
                <w:rFonts w:ascii="宋体" w:hAnsi="宋体"/>
                <w:szCs w:val="21"/>
              </w:rPr>
            </w:pPr>
            <w:r>
              <w:rPr>
                <w:rFonts w:hint="eastAsia" w:ascii="宋体" w:hAnsi="宋体"/>
                <w:szCs w:val="21"/>
                <w:lang w:val="en-US" w:eastAsia="zh-CN"/>
              </w:rPr>
              <w:t>.......</w:t>
            </w:r>
          </w:p>
          <w:p>
            <w:pPr>
              <w:widowControl/>
              <w:jc w:val="left"/>
              <w:rPr>
                <w:rFonts w:ascii="宋体" w:hAnsi="宋体" w:cs="宋体"/>
                <w:szCs w:val="21"/>
              </w:rPr>
            </w:pPr>
            <w:r>
              <w:rPr>
                <w:rFonts w:hint="eastAsia" w:ascii="宋体" w:hAnsi="宋体"/>
                <w:szCs w:val="21"/>
              </w:rPr>
              <w:t>部门负责人熟悉本部门职责。</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noWrap w:val="0"/>
            <w:vAlign w:val="top"/>
          </w:tcPr>
          <w:p>
            <w:pPr>
              <w:rPr>
                <w:rFonts w:ascii="宋体" w:hAnsi="宋体" w:cs="新宋体"/>
                <w:szCs w:val="21"/>
              </w:rPr>
            </w:pPr>
            <w:r>
              <w:rPr>
                <w:rFonts w:hint="eastAsia" w:ascii="宋体" w:hAnsi="宋体" w:cs="宋体"/>
                <w:b/>
                <w:szCs w:val="21"/>
              </w:rPr>
              <w:t>6.2</w:t>
            </w:r>
          </w:p>
        </w:tc>
        <w:tc>
          <w:tcPr>
            <w:tcW w:w="10535" w:type="dxa"/>
            <w:noWrap w:val="0"/>
            <w:vAlign w:val="top"/>
          </w:tcPr>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技术研发部分解目标：</w:t>
            </w:r>
          </w:p>
          <w:p>
            <w:pPr>
              <w:spacing w:line="320" w:lineRule="exact"/>
              <w:textAlignment w:val="baseline"/>
              <w:rPr>
                <w:rFonts w:hint="default" w:ascii="宋体" w:hAnsi="宋体"/>
                <w:szCs w:val="21"/>
                <w:lang w:val="en-US" w:eastAsia="zh-CN"/>
              </w:rPr>
            </w:pPr>
            <w:r>
              <w:rPr>
                <w:rFonts w:hint="eastAsia" w:ascii="宋体" w:hAnsi="宋体"/>
                <w:szCs w:val="21"/>
                <w:lang w:val="en-US" w:eastAsia="zh-CN"/>
              </w:rPr>
              <w:t>产品研发合格率100%</w:t>
            </w:r>
          </w:p>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 xml:space="preserve">查《部门质量目标完成情况进行统计表》 </w:t>
            </w:r>
          </w:p>
          <w:p>
            <w:pPr>
              <w:spacing w:line="320" w:lineRule="exact"/>
              <w:textAlignment w:val="baseline"/>
              <w:rPr>
                <w:rFonts w:hint="eastAsia" w:ascii="宋体" w:hAnsi="宋体"/>
                <w:szCs w:val="21"/>
                <w:lang w:val="en-US" w:eastAsia="zh-CN"/>
              </w:rPr>
            </w:pPr>
            <w:r>
              <w:rPr>
                <w:rFonts w:hint="eastAsia" w:ascii="宋体" w:hAnsi="宋体"/>
                <w:szCs w:val="21"/>
                <w:lang w:val="en-US" w:eastAsia="zh-CN"/>
              </w:rPr>
              <w:t>测量时间：2021.1月-9月</w:t>
            </w:r>
          </w:p>
          <w:p>
            <w:pPr>
              <w:spacing w:line="320" w:lineRule="exact"/>
              <w:textAlignment w:val="baseline"/>
              <w:rPr>
                <w:rFonts w:hint="default" w:ascii="宋体" w:hAnsi="宋体"/>
                <w:szCs w:val="21"/>
                <w:lang w:val="en-US" w:eastAsia="zh-CN"/>
              </w:rPr>
            </w:pPr>
            <w:r>
              <w:rPr>
                <w:rFonts w:hint="eastAsia" w:ascii="宋体" w:hAnsi="宋体"/>
                <w:szCs w:val="21"/>
                <w:lang w:val="en-US" w:eastAsia="zh-CN"/>
              </w:rPr>
              <w:t>产品研发合格率100%            实测：100%</w:t>
            </w:r>
          </w:p>
          <w:p>
            <w:pPr>
              <w:spacing w:line="320" w:lineRule="exact"/>
              <w:textAlignment w:val="baseline"/>
              <w:rPr>
                <w:rFonts w:ascii="宋体" w:hAnsi="宋体" w:cs="宋体"/>
                <w:szCs w:val="21"/>
              </w:rPr>
            </w:pPr>
            <w:r>
              <w:rPr>
                <w:rFonts w:hint="eastAsia" w:ascii="宋体" w:hAnsi="宋体"/>
                <w:szCs w:val="21"/>
                <w:lang w:val="en-US" w:eastAsia="zh-CN"/>
              </w:rPr>
              <w:t>达到目标要求，目标量化情况良好。</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ascii="宋体" w:hAnsi="宋体"/>
                <w:b/>
                <w:szCs w:val="21"/>
              </w:rPr>
            </w:pPr>
            <w:r>
              <w:rPr>
                <w:rFonts w:hint="eastAsia" w:ascii="宋体" w:hAnsi="宋体" w:cs="新宋体"/>
                <w:szCs w:val="21"/>
              </w:rPr>
              <w:t>基础设施</w:t>
            </w:r>
          </w:p>
        </w:tc>
        <w:tc>
          <w:tcPr>
            <w:tcW w:w="960" w:type="dxa"/>
            <w:noWrap w:val="0"/>
            <w:vAlign w:val="top"/>
          </w:tcPr>
          <w:p>
            <w:pPr>
              <w:rPr>
                <w:rFonts w:hint="default" w:ascii="宋体" w:hAnsi="宋体" w:eastAsia="宋体" w:cs="宋体"/>
                <w:b/>
                <w:szCs w:val="21"/>
                <w:highlight w:val="none"/>
                <w:lang w:val="en-US" w:eastAsia="zh-CN"/>
              </w:rPr>
            </w:pPr>
            <w:r>
              <w:rPr>
                <w:rFonts w:hint="eastAsia" w:ascii="宋体" w:hAnsi="宋体" w:cs="宋体"/>
                <w:b/>
                <w:szCs w:val="21"/>
                <w:highlight w:val="none"/>
              </w:rPr>
              <w:t>7.1.3</w:t>
            </w:r>
          </w:p>
        </w:tc>
        <w:tc>
          <w:tcPr>
            <w:tcW w:w="10535" w:type="dxa"/>
            <w:noWrap w:val="0"/>
            <w:vAlign w:val="top"/>
          </w:tcPr>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查见，《设备台账》，有台式计算机4台，笔记本电脑3台，打印机1台，有振动平台，振动模拟平台，数字信号发生器，万用表等工具。</w:t>
            </w:r>
          </w:p>
          <w:p>
            <w:pPr>
              <w:numPr>
                <w:ilvl w:val="0"/>
                <w:numId w:val="5"/>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查见，《设备维修计划》，各设备均按计划进行检修；</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抽查，《设备保养维修记录》</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A.日期：2021年10月15日  设备：电脑</w:t>
            </w:r>
          </w:p>
          <w:p>
            <w:pP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保养项目：1，统一杀毒；2、资料拷贝；3、电脑除尘  保养人：冯晟</w:t>
            </w:r>
          </w:p>
          <w:p>
            <w:pP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B.日期：2021年8月5日  设备：数字信号发生器</w:t>
            </w:r>
          </w:p>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保养项目：电性能稳定性   保养人：冯晟</w:t>
            </w:r>
          </w:p>
          <w:p>
            <w:pPr>
              <w:numPr>
                <w:ilvl w:val="0"/>
                <w:numId w:val="0"/>
              </w:num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C.日期：2021年5月4日  设备：振动平台</w:t>
            </w:r>
          </w:p>
          <w:p>
            <w:pPr>
              <w:numPr>
                <w:ilvl w:val="0"/>
                <w:numId w:val="0"/>
              </w:numPr>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保养项目：振动平台的输出  保养人：冯晟</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2、办公室共约100平方米。</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3、公司办公条件满足要求，配置有电脑、电话、打印机。现场观察办公、研发、支持性服务设备运行正常。</w:t>
            </w:r>
          </w:p>
          <w:p>
            <w:pPr>
              <w:rPr>
                <w:rFonts w:hint="eastAsia" w:ascii="宋体" w:hAnsi="宋体"/>
                <w:color w:val="000000"/>
                <w:szCs w:val="21"/>
                <w:highlight w:val="none"/>
              </w:rPr>
            </w:pPr>
            <w:r>
              <w:rPr>
                <w:rFonts w:hint="eastAsia" w:ascii="宋体" w:hAnsi="宋体"/>
                <w:szCs w:val="21"/>
                <w:highlight w:val="none"/>
              </w:rPr>
              <w:t xml:space="preserve">   目前该公司基础设施符合要求，基本能满足公司运营的要求。</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ascii="宋体" w:hAnsi="宋体"/>
                <w:b/>
                <w:szCs w:val="21"/>
              </w:rPr>
            </w:pPr>
            <w:r>
              <w:rPr>
                <w:rFonts w:hint="eastAsia" w:ascii="宋体" w:hAnsi="宋体" w:cs="新宋体"/>
                <w:szCs w:val="21"/>
              </w:rPr>
              <w:t>过程运行环境</w:t>
            </w:r>
          </w:p>
        </w:tc>
        <w:tc>
          <w:tcPr>
            <w:tcW w:w="960" w:type="dxa"/>
            <w:noWrap w:val="0"/>
            <w:vAlign w:val="top"/>
          </w:tcPr>
          <w:p>
            <w:pPr>
              <w:rPr>
                <w:rFonts w:hint="eastAsia" w:ascii="宋体" w:hAnsi="宋体" w:cs="宋体"/>
                <w:b/>
                <w:szCs w:val="21"/>
                <w:lang w:val="en-US" w:eastAsia="zh-CN"/>
              </w:rPr>
            </w:pPr>
            <w:r>
              <w:rPr>
                <w:rFonts w:hint="eastAsia" w:ascii="宋体" w:hAnsi="宋体" w:cs="宋体"/>
                <w:b/>
                <w:szCs w:val="21"/>
              </w:rPr>
              <w:t>7.1.4</w:t>
            </w:r>
          </w:p>
        </w:tc>
        <w:tc>
          <w:tcPr>
            <w:tcW w:w="10535" w:type="dxa"/>
            <w:noWrap w:val="0"/>
            <w:vAlign w:val="top"/>
          </w:tcPr>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现场查看：</w:t>
            </w:r>
          </w:p>
          <w:p>
            <w:pPr>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办公室内设备布置合理，通道畅通，照明设施齐全，楼梯设置有护栏，配置有铁质档案柜、文件柜。配备了空调、消防设施等设施，作业场所光线较充足。项目现场为办公楼内，目前工作环境符合生产需要。</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ascii="宋体" w:hAnsi="宋体"/>
                <w:b/>
                <w:szCs w:val="21"/>
              </w:rPr>
            </w:pPr>
            <w:r>
              <w:rPr>
                <w:rFonts w:hint="eastAsia" w:ascii="宋体" w:hAnsi="宋体" w:cs="新宋体"/>
                <w:szCs w:val="21"/>
              </w:rPr>
              <w:t>监视和测量资源</w:t>
            </w:r>
          </w:p>
        </w:tc>
        <w:tc>
          <w:tcPr>
            <w:tcW w:w="960" w:type="dxa"/>
            <w:noWrap w:val="0"/>
            <w:vAlign w:val="top"/>
          </w:tcPr>
          <w:p>
            <w:pPr>
              <w:rPr>
                <w:rFonts w:hint="eastAsia" w:ascii="宋体" w:hAnsi="宋体" w:cs="宋体"/>
                <w:b/>
                <w:szCs w:val="21"/>
                <w:lang w:val="en-US" w:eastAsia="zh-CN"/>
              </w:rPr>
            </w:pPr>
            <w:r>
              <w:rPr>
                <w:rFonts w:hint="eastAsia" w:ascii="宋体" w:hAnsi="宋体" w:cs="宋体"/>
                <w:b/>
                <w:szCs w:val="21"/>
              </w:rPr>
              <w:t>7.1.5</w:t>
            </w:r>
          </w:p>
        </w:tc>
        <w:tc>
          <w:tcPr>
            <w:tcW w:w="10535" w:type="dxa"/>
            <w:noWrap w:val="0"/>
            <w:vAlign w:val="top"/>
          </w:tcPr>
          <w:p>
            <w:pPr>
              <w:spacing w:line="400" w:lineRule="atLeast"/>
              <w:ind w:firstLine="420" w:firstLineChars="200"/>
              <w:rPr>
                <w:rFonts w:hint="eastAsia" w:ascii="宋体" w:hAnsi="宋体"/>
                <w:b w:val="0"/>
                <w:bCs w:val="0"/>
                <w:szCs w:val="21"/>
                <w:highlight w:val="none"/>
              </w:rPr>
            </w:pPr>
            <w:r>
              <w:rPr>
                <w:rFonts w:hint="eastAsia" w:ascii="宋体" w:hAnsi="宋体"/>
                <w:szCs w:val="21"/>
                <w:highlight w:val="none"/>
              </w:rPr>
              <w:t>1.查《</w:t>
            </w:r>
            <w:r>
              <w:rPr>
                <w:rFonts w:hint="eastAsia" w:ascii="宋体" w:hAnsi="宋体"/>
                <w:b w:val="0"/>
                <w:bCs w:val="0"/>
                <w:szCs w:val="21"/>
                <w:highlight w:val="none"/>
              </w:rPr>
              <w:t>计量器具台账》部门按要求配置了相应的检测设备，</w:t>
            </w:r>
            <w:r>
              <w:rPr>
                <w:rFonts w:hint="eastAsia" w:ascii="宋体" w:hAnsi="宋体"/>
                <w:b w:val="0"/>
                <w:bCs w:val="0"/>
                <w:szCs w:val="21"/>
                <w:highlight w:val="none"/>
                <w:lang w:eastAsia="zh-CN"/>
              </w:rPr>
              <w:t>包含</w:t>
            </w:r>
            <w:r>
              <w:rPr>
                <w:rFonts w:hint="eastAsia" w:ascii="宋体" w:hAnsi="宋体"/>
                <w:b w:val="0"/>
                <w:bCs w:val="0"/>
                <w:szCs w:val="21"/>
                <w:highlight w:val="none"/>
                <w:lang w:val="en-US" w:eastAsia="zh-CN"/>
              </w:rPr>
              <w:t>数字信号发生器</w:t>
            </w:r>
            <w:r>
              <w:rPr>
                <w:rFonts w:hint="eastAsia" w:ascii="宋体" w:hAnsi="宋体"/>
                <w:b w:val="0"/>
                <w:bCs w:val="0"/>
                <w:szCs w:val="21"/>
                <w:highlight w:val="none"/>
                <w:lang w:eastAsia="zh-CN"/>
              </w:rPr>
              <w:t>、万用表</w:t>
            </w:r>
            <w:r>
              <w:rPr>
                <w:rFonts w:hint="eastAsia" w:ascii="宋体" w:hAnsi="宋体"/>
                <w:b w:val="0"/>
                <w:bCs w:val="0"/>
                <w:szCs w:val="21"/>
                <w:highlight w:val="none"/>
              </w:rPr>
              <w:t>等，</w:t>
            </w:r>
            <w:r>
              <w:rPr>
                <w:rFonts w:hint="eastAsia" w:ascii="宋体" w:hAnsi="宋体"/>
                <w:b w:val="0"/>
                <w:bCs w:val="0"/>
                <w:szCs w:val="21"/>
                <w:highlight w:val="none"/>
                <w:lang w:eastAsia="zh-CN"/>
              </w:rPr>
              <w:t>要求</w:t>
            </w:r>
            <w:r>
              <w:rPr>
                <w:rFonts w:hint="eastAsia" w:ascii="宋体" w:hAnsi="宋体"/>
                <w:b w:val="0"/>
                <w:bCs w:val="0"/>
                <w:szCs w:val="21"/>
                <w:highlight w:val="none"/>
              </w:rPr>
              <w:t>采用委外送检。</w:t>
            </w:r>
          </w:p>
          <w:p>
            <w:pPr>
              <w:spacing w:line="400" w:lineRule="atLeast"/>
              <w:ind w:firstLine="420" w:firstLineChars="200"/>
              <w:rPr>
                <w:rFonts w:hint="eastAsia" w:ascii="宋体" w:hAnsi="宋体"/>
                <w:color w:val="000000"/>
                <w:szCs w:val="21"/>
              </w:rPr>
            </w:pPr>
            <w:r>
              <w:rPr>
                <w:rFonts w:hint="eastAsia" w:ascii="宋体" w:hAnsi="宋体" w:cs="宋体"/>
                <w:szCs w:val="24"/>
                <w:lang w:val="en-US" w:eastAsia="zh-CN"/>
              </w:rPr>
              <w:t>对上次不符</w:t>
            </w:r>
            <w:r>
              <w:rPr>
                <w:rFonts w:hint="eastAsia" w:ascii="Times New Roman" w:hAnsi="Times New Roman" w:eastAsia="宋体" w:cs="Times New Roman"/>
                <w:bCs w:val="0"/>
                <w:spacing w:val="0"/>
                <w:kern w:val="2"/>
                <w:sz w:val="21"/>
                <w:lang w:val="en-US" w:eastAsia="zh-CN" w:bidi="ar-SA"/>
              </w:rPr>
              <w:t>合“查在用检具的检定和校准，数字信号发生器，设备型号：MY5800793，4位半数字万用表，生产厂家：福禄克，均未进行年度校准工作”</w:t>
            </w:r>
            <w:r>
              <w:rPr>
                <w:rFonts w:hint="eastAsia" w:cs="Times New Roman"/>
                <w:bCs w:val="0"/>
                <w:spacing w:val="0"/>
                <w:kern w:val="2"/>
                <w:sz w:val="21"/>
                <w:lang w:val="en-US" w:eastAsia="zh-CN" w:bidi="ar-SA"/>
              </w:rPr>
              <w:t>进行验证，不符合措施落实有效。</w:t>
            </w:r>
            <w:r>
              <w:rPr>
                <w:rFonts w:hint="eastAsia" w:ascii="宋体" w:hAnsi="宋体"/>
                <w:b w:val="0"/>
                <w:bCs w:val="0"/>
                <w:szCs w:val="21"/>
                <w:highlight w:val="none"/>
              </w:rPr>
              <w:t>。</w:t>
            </w:r>
          </w:p>
        </w:tc>
        <w:tc>
          <w:tcPr>
            <w:tcW w:w="1054" w:type="dxa"/>
            <w:noWrap w:val="0"/>
            <w:vAlign w:val="top"/>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noWrap w:val="0"/>
            <w:vAlign w:val="top"/>
          </w:tcPr>
          <w:p>
            <w:pPr>
              <w:rPr>
                <w:rFonts w:ascii="宋体" w:hAnsi="宋体" w:cs="新宋体"/>
                <w:szCs w:val="21"/>
              </w:rPr>
            </w:pPr>
            <w:r>
              <w:rPr>
                <w:rFonts w:hint="eastAsia" w:ascii="宋体" w:hAnsi="宋体" w:cs="宋体"/>
                <w:b/>
                <w:szCs w:val="21"/>
              </w:rPr>
              <w:t>8.1</w:t>
            </w:r>
          </w:p>
        </w:tc>
        <w:tc>
          <w:tcPr>
            <w:tcW w:w="10535" w:type="dxa"/>
            <w:noWrap w:val="0"/>
            <w:vAlign w:val="top"/>
          </w:tcPr>
          <w:p>
            <w:pPr>
              <w:spacing w:line="0" w:lineRule="atLeast"/>
              <w:jc w:val="left"/>
              <w:rPr>
                <w:rFonts w:ascii="宋体" w:hAnsi="宋体"/>
                <w:color w:val="000000"/>
                <w:szCs w:val="21"/>
              </w:rPr>
            </w:pPr>
            <w:r>
              <w:rPr>
                <w:rFonts w:hint="eastAsia" w:ascii="宋体" w:hAnsi="宋体"/>
                <w:color w:val="000000"/>
                <w:szCs w:val="21"/>
              </w:rPr>
              <w:t>公司主要生产产品</w:t>
            </w:r>
            <w:r>
              <w:rPr>
                <w:rFonts w:hint="eastAsia" w:ascii="宋体" w:hAnsi="宋体"/>
                <w:color w:val="000000"/>
                <w:szCs w:val="21"/>
                <w:lang w:eastAsia="zh-CN"/>
              </w:rPr>
              <w:t>及服务</w:t>
            </w:r>
            <w:r>
              <w:rPr>
                <w:rFonts w:hint="eastAsia" w:ascii="宋体" w:hAnsi="宋体"/>
                <w:color w:val="000000"/>
                <w:szCs w:val="21"/>
              </w:rPr>
              <w:t>：</w:t>
            </w:r>
            <w:r>
              <w:rPr>
                <w:rFonts w:hint="eastAsia" w:ascii="宋体" w:hAnsi="宋体"/>
                <w:szCs w:val="21"/>
                <w:lang w:eastAsia="zh-CN"/>
              </w:rPr>
              <w:t>振动（在线、离线）监测系统的软件、硬件开发及销售</w:t>
            </w:r>
            <w:r>
              <w:rPr>
                <w:rFonts w:hint="eastAsia" w:ascii="宋体" w:hAnsi="宋体"/>
                <w:szCs w:val="21"/>
              </w:rPr>
              <w:t xml:space="preserve"> </w:t>
            </w:r>
          </w:p>
          <w:p>
            <w:pPr>
              <w:spacing w:line="400" w:lineRule="exact"/>
              <w:ind w:firstLine="420" w:firstLineChars="200"/>
              <w:rPr>
                <w:rFonts w:hint="eastAsia" w:ascii="宋体" w:hAnsi="宋体" w:cs="Times New Roman"/>
                <w:color w:val="000000"/>
                <w:szCs w:val="21"/>
              </w:rPr>
            </w:pPr>
            <w:r>
              <w:rPr>
                <w:rFonts w:hint="eastAsia" w:ascii="宋体" w:hAnsi="宋体"/>
                <w:color w:val="000000"/>
                <w:szCs w:val="21"/>
              </w:rPr>
              <w:t>公司产品执行标准</w:t>
            </w:r>
            <w:r>
              <w:rPr>
                <w:rFonts w:hint="eastAsia" w:ascii="宋体" w:hAnsi="宋体" w:cs="Times New Roman"/>
                <w:color w:val="000000"/>
                <w:szCs w:val="21"/>
              </w:rPr>
              <w:t>：企业集成 企业建模框架</w:t>
            </w:r>
            <w:r>
              <w:rPr>
                <w:rFonts w:hint="eastAsia" w:ascii="宋体" w:hAnsi="宋体" w:cs="Times New Roman"/>
                <w:color w:val="000000"/>
                <w:szCs w:val="21"/>
              </w:rPr>
              <w:tab/>
            </w:r>
            <w:r>
              <w:rPr>
                <w:rFonts w:hint="eastAsia" w:ascii="宋体" w:hAnsi="宋体" w:cs="Times New Roman"/>
                <w:color w:val="000000"/>
                <w:szCs w:val="21"/>
              </w:rPr>
              <w:t>GB/T 16642-2008</w:t>
            </w:r>
            <w:r>
              <w:rPr>
                <w:rFonts w:hint="eastAsia" w:ascii="宋体" w:hAnsi="宋体" w:cs="Times New Roman"/>
                <w:color w:val="000000"/>
                <w:szCs w:val="21"/>
                <w:lang w:eastAsia="zh-CN"/>
              </w:rPr>
              <w:t>、</w:t>
            </w:r>
            <w:r>
              <w:rPr>
                <w:rFonts w:hint="eastAsia" w:ascii="宋体" w:hAnsi="宋体"/>
                <w:sz w:val="21"/>
                <w:szCs w:val="21"/>
              </w:rPr>
              <w:t>民用机载计算机软件质量保证大纲编写指南HB 7233-1995</w:t>
            </w:r>
            <w:r>
              <w:rPr>
                <w:rFonts w:hint="eastAsia" w:ascii="宋体" w:hAnsi="宋体"/>
                <w:sz w:val="21"/>
                <w:szCs w:val="21"/>
                <w:lang w:eastAsia="zh-CN"/>
              </w:rPr>
              <w:t>、</w:t>
            </w:r>
            <w:r>
              <w:rPr>
                <w:rFonts w:hint="eastAsia" w:ascii="宋体" w:hAnsi="宋体"/>
                <w:sz w:val="21"/>
                <w:szCs w:val="21"/>
              </w:rPr>
              <w:t>信息</w:t>
            </w:r>
            <w:r>
              <w:rPr>
                <w:rFonts w:hint="eastAsia" w:ascii="宋体" w:hAnsi="宋体"/>
                <w:sz w:val="21"/>
                <w:szCs w:val="21"/>
                <w:lang w:eastAsia="zh-CN"/>
              </w:rPr>
              <w:t>研发</w:t>
            </w:r>
            <w:r>
              <w:rPr>
                <w:rFonts w:hint="eastAsia" w:ascii="宋体" w:hAnsi="宋体"/>
                <w:sz w:val="21"/>
                <w:szCs w:val="21"/>
              </w:rPr>
              <w:t>软件维护GB/T 20157-2006</w:t>
            </w:r>
            <w:r>
              <w:rPr>
                <w:rFonts w:hint="eastAsia" w:ascii="宋体" w:hAnsi="宋体"/>
                <w:sz w:val="21"/>
                <w:szCs w:val="21"/>
                <w:lang w:eastAsia="zh-CN"/>
              </w:rPr>
              <w:t>、</w:t>
            </w:r>
            <w:r>
              <w:rPr>
                <w:rFonts w:hint="eastAsia" w:ascii="宋体" w:hAnsi="宋体"/>
                <w:sz w:val="21"/>
                <w:szCs w:val="21"/>
              </w:rPr>
              <w:t>企业信息化系统集成实施指南GB/T 26327-2010</w:t>
            </w:r>
            <w:r>
              <w:rPr>
                <w:rFonts w:hint="eastAsia" w:ascii="宋体" w:hAnsi="宋体"/>
                <w:sz w:val="21"/>
                <w:szCs w:val="21"/>
                <w:lang w:eastAsia="zh-CN"/>
              </w:rPr>
              <w:t>、</w:t>
            </w:r>
            <w:r>
              <w:rPr>
                <w:rFonts w:hint="eastAsia" w:ascii="宋体" w:hAnsi="宋体"/>
                <w:sz w:val="21"/>
                <w:szCs w:val="21"/>
              </w:rPr>
              <w:t>计算机软件测试文档编制规范GB/T 9386-2008</w:t>
            </w:r>
            <w:r>
              <w:rPr>
                <w:rFonts w:hint="eastAsia" w:ascii="宋体" w:hAnsi="宋体"/>
                <w:sz w:val="21"/>
                <w:szCs w:val="21"/>
                <w:lang w:eastAsia="zh-CN"/>
              </w:rPr>
              <w:t>、</w:t>
            </w:r>
            <w:r>
              <w:rPr>
                <w:rFonts w:hint="eastAsia" w:ascii="宋体" w:hAnsi="宋体"/>
                <w:sz w:val="21"/>
                <w:szCs w:val="21"/>
              </w:rPr>
              <w:t>软件工程 产品质量 第</w:t>
            </w:r>
            <w:r>
              <w:rPr>
                <w:rFonts w:hint="eastAsia" w:ascii="宋体" w:hAnsi="宋体"/>
                <w:sz w:val="21"/>
                <w:szCs w:val="21"/>
                <w:lang w:val="en-US" w:eastAsia="zh-CN"/>
              </w:rPr>
              <w:t>1</w:t>
            </w:r>
            <w:r>
              <w:rPr>
                <w:rFonts w:hint="eastAsia" w:ascii="宋体" w:hAnsi="宋体"/>
                <w:sz w:val="21"/>
                <w:szCs w:val="21"/>
              </w:rPr>
              <w:t>部分:</w:t>
            </w:r>
            <w:r>
              <w:rPr>
                <w:rFonts w:hint="eastAsia" w:ascii="宋体" w:hAnsi="宋体"/>
                <w:sz w:val="21"/>
                <w:szCs w:val="21"/>
                <w:lang w:val="en-US" w:eastAsia="zh-CN"/>
              </w:rPr>
              <w:t>质量模型、</w:t>
            </w:r>
            <w:r>
              <w:rPr>
                <w:rFonts w:hint="eastAsia" w:ascii="宋体" w:hAnsi="宋体"/>
                <w:sz w:val="21"/>
                <w:szCs w:val="21"/>
              </w:rPr>
              <w:t>GB/T 16260.2-2006</w:t>
            </w:r>
            <w:r>
              <w:rPr>
                <w:rFonts w:hint="eastAsia" w:ascii="宋体" w:hAnsi="宋体"/>
                <w:sz w:val="21"/>
                <w:szCs w:val="21"/>
                <w:lang w:eastAsia="zh-CN"/>
              </w:rPr>
              <w:t>、</w:t>
            </w:r>
            <w:r>
              <w:rPr>
                <w:rFonts w:hint="eastAsia" w:ascii="宋体" w:hAnsi="宋体"/>
                <w:sz w:val="21"/>
                <w:szCs w:val="21"/>
              </w:rPr>
              <w:t>软件工程 产品质量 第2部分:外部度量</w:t>
            </w:r>
            <w:r>
              <w:rPr>
                <w:rFonts w:hint="eastAsia" w:ascii="宋体" w:hAnsi="宋体"/>
                <w:sz w:val="21"/>
                <w:szCs w:val="21"/>
                <w:lang w:val="en-US" w:eastAsia="zh-CN"/>
              </w:rPr>
              <w:t>、</w:t>
            </w:r>
            <w:r>
              <w:rPr>
                <w:rFonts w:hint="eastAsia" w:ascii="宋体" w:hAnsi="宋体"/>
                <w:sz w:val="21"/>
                <w:szCs w:val="21"/>
              </w:rPr>
              <w:t>GB/T 16260.2-2006软件工程 产品质量 第</w:t>
            </w:r>
            <w:r>
              <w:rPr>
                <w:rFonts w:hint="eastAsia" w:ascii="宋体" w:hAnsi="宋体"/>
                <w:sz w:val="21"/>
                <w:szCs w:val="21"/>
                <w:lang w:val="en-US" w:eastAsia="zh-CN"/>
              </w:rPr>
              <w:t>3</w:t>
            </w:r>
            <w:r>
              <w:rPr>
                <w:rFonts w:hint="eastAsia" w:ascii="宋体" w:hAnsi="宋体"/>
                <w:sz w:val="21"/>
                <w:szCs w:val="21"/>
              </w:rPr>
              <w:t>部分:</w:t>
            </w:r>
            <w:r>
              <w:rPr>
                <w:rFonts w:hint="eastAsia" w:ascii="宋体" w:hAnsi="宋体"/>
                <w:sz w:val="21"/>
                <w:szCs w:val="21"/>
                <w:lang w:val="en-US" w:eastAsia="zh-CN"/>
              </w:rPr>
              <w:t>内部度量</w:t>
            </w:r>
            <w:r>
              <w:rPr>
                <w:rFonts w:hint="eastAsia" w:ascii="宋体" w:hAnsi="宋体"/>
                <w:sz w:val="21"/>
                <w:szCs w:val="21"/>
                <w:lang w:eastAsia="zh-CN"/>
              </w:rPr>
              <w:t>、</w:t>
            </w:r>
            <w:r>
              <w:rPr>
                <w:rFonts w:hint="eastAsia" w:ascii="宋体" w:hAnsi="宋体"/>
                <w:sz w:val="21"/>
                <w:szCs w:val="21"/>
              </w:rPr>
              <w:t>GB/T 16260.2-2006软件工程 产品质量 第</w:t>
            </w:r>
            <w:r>
              <w:rPr>
                <w:rFonts w:hint="eastAsia" w:ascii="宋体" w:hAnsi="宋体"/>
                <w:sz w:val="21"/>
                <w:szCs w:val="21"/>
                <w:lang w:val="en-US" w:eastAsia="zh-CN"/>
              </w:rPr>
              <w:t>4</w:t>
            </w:r>
            <w:r>
              <w:rPr>
                <w:rFonts w:hint="eastAsia" w:ascii="宋体" w:hAnsi="宋体"/>
                <w:sz w:val="21"/>
                <w:szCs w:val="21"/>
              </w:rPr>
              <w:t>部分:</w:t>
            </w:r>
            <w:r>
              <w:rPr>
                <w:rFonts w:hint="eastAsia" w:ascii="宋体" w:hAnsi="宋体"/>
                <w:sz w:val="21"/>
                <w:szCs w:val="21"/>
                <w:lang w:val="en-US" w:eastAsia="zh-CN"/>
              </w:rPr>
              <w:t>使用质量</w:t>
            </w:r>
            <w:r>
              <w:rPr>
                <w:rFonts w:hint="eastAsia" w:ascii="宋体" w:hAnsi="宋体"/>
                <w:sz w:val="21"/>
                <w:szCs w:val="21"/>
              </w:rPr>
              <w:t>GB/T 16260.2-2006</w:t>
            </w:r>
            <w:r>
              <w:rPr>
                <w:rFonts w:hint="eastAsia" w:ascii="宋体" w:hAnsi="宋体"/>
                <w:sz w:val="21"/>
                <w:szCs w:val="21"/>
                <w:lang w:eastAsia="zh-CN"/>
              </w:rPr>
              <w:t>等</w:t>
            </w:r>
            <w:r>
              <w:rPr>
                <w:rFonts w:hint="eastAsia" w:ascii="宋体" w:hAnsi="宋体"/>
                <w:sz w:val="21"/>
                <w:szCs w:val="21"/>
              </w:rPr>
              <w:t>及依据顾客</w:t>
            </w:r>
            <w:r>
              <w:rPr>
                <w:rFonts w:hint="eastAsia" w:ascii="宋体" w:hAnsi="宋体"/>
                <w:sz w:val="21"/>
                <w:szCs w:val="21"/>
                <w:lang w:eastAsia="zh-CN"/>
              </w:rPr>
              <w:t>技术</w:t>
            </w:r>
            <w:r>
              <w:rPr>
                <w:rFonts w:hint="eastAsia" w:ascii="宋体" w:hAnsi="宋体"/>
                <w:sz w:val="21"/>
                <w:szCs w:val="21"/>
              </w:rPr>
              <w:t>要求。</w:t>
            </w:r>
            <w:r>
              <w:rPr>
                <w:rFonts w:hint="eastAsia" w:ascii="宋体" w:hAnsi="宋体" w:cs="Times New Roman"/>
                <w:color w:val="000000"/>
                <w:szCs w:val="21"/>
              </w:rPr>
              <w:t>策划输出的具体结果包括以下内容：</w:t>
            </w:r>
          </w:p>
          <w:p>
            <w:pPr>
              <w:spacing w:line="400" w:lineRule="exact"/>
              <w:rPr>
                <w:rFonts w:hint="eastAsia" w:ascii="宋体" w:hAnsi="宋体" w:cs="Times New Roman"/>
                <w:color w:val="000000"/>
                <w:szCs w:val="21"/>
              </w:rPr>
            </w:pPr>
            <w:r>
              <w:rPr>
                <w:rFonts w:hint="eastAsia" w:ascii="宋体" w:hAnsi="宋体" w:cs="Times New Roman"/>
                <w:color w:val="000000"/>
                <w:szCs w:val="21"/>
              </w:rPr>
              <w:t>a）确定产品和服务的要求</w:t>
            </w:r>
            <w:r>
              <w:rPr>
                <w:rFonts w:hint="eastAsia" w:ascii="宋体" w:hAnsi="宋体" w:cs="Times New Roman"/>
                <w:color w:val="000000"/>
                <w:szCs w:val="21"/>
                <w:lang w:eastAsia="zh-CN"/>
              </w:rPr>
              <w:t>（包括为确保软件的质量，满足国家法律、法规、技术标准、行业规范与规程的要求，满足顾客对质量的要求）</w:t>
            </w:r>
            <w:r>
              <w:rPr>
                <w:rFonts w:hint="eastAsia" w:ascii="宋体" w:hAnsi="宋体" w:cs="Times New Roman"/>
                <w:color w:val="000000"/>
                <w:szCs w:val="21"/>
              </w:rPr>
              <w:t>；--</w:t>
            </w: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需求分析</w:t>
            </w:r>
            <w:r>
              <w:rPr>
                <w:rFonts w:hint="eastAsia" w:ascii="宋体" w:hAnsi="宋体" w:cs="Times New Roman"/>
                <w:color w:val="000000"/>
                <w:szCs w:val="21"/>
                <w:lang w:eastAsia="zh-CN"/>
              </w:rPr>
              <w:t>》、《合同》、《招投标文件》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b）建立过程准则以及产品和服务的接收准则；---</w:t>
            </w:r>
            <w:r>
              <w:rPr>
                <w:rFonts w:hint="eastAsia" w:ascii="宋体" w:hAnsi="宋体" w:cs="Times New Roman"/>
                <w:color w:val="000000"/>
                <w:szCs w:val="21"/>
                <w:lang w:eastAsia="zh-CN"/>
              </w:rPr>
              <w:t>验收标准、作业指导书、《合同》、《招投标文件》</w:t>
            </w:r>
          </w:p>
          <w:p>
            <w:pPr>
              <w:spacing w:line="400" w:lineRule="exact"/>
              <w:rPr>
                <w:rFonts w:hint="eastAsia" w:ascii="宋体" w:hAnsi="宋体" w:cs="Times New Roman"/>
                <w:color w:val="000000"/>
                <w:szCs w:val="21"/>
              </w:rPr>
            </w:pPr>
            <w:r>
              <w:rPr>
                <w:rFonts w:hint="eastAsia" w:ascii="宋体" w:hAnsi="宋体" w:cs="Times New Roman"/>
                <w:color w:val="000000"/>
                <w:szCs w:val="21"/>
              </w:rPr>
              <w:t>c）确定符合产品和服务要求的资源；---</w:t>
            </w:r>
            <w:r>
              <w:rPr>
                <w:rFonts w:hint="eastAsia" w:ascii="宋体" w:hAnsi="宋体" w:cs="Times New Roman"/>
                <w:color w:val="000000"/>
                <w:szCs w:val="21"/>
                <w:lang w:eastAsia="zh-CN"/>
              </w:rPr>
              <w:t>《设计规范》、《测试规范》</w:t>
            </w:r>
          </w:p>
          <w:p>
            <w:pPr>
              <w:spacing w:line="400" w:lineRule="exact"/>
              <w:rPr>
                <w:rFonts w:hint="eastAsia" w:ascii="宋体" w:hAnsi="宋体" w:cs="Times New Roman"/>
                <w:color w:val="000000"/>
                <w:szCs w:val="21"/>
              </w:rPr>
            </w:pPr>
            <w:r>
              <w:rPr>
                <w:rFonts w:hint="eastAsia" w:ascii="宋体" w:hAnsi="宋体" w:cs="Times New Roman"/>
                <w:color w:val="000000"/>
                <w:szCs w:val="21"/>
              </w:rPr>
              <w:t>d）按照准则实施过程控制；---过程监控</w:t>
            </w:r>
            <w:r>
              <w:rPr>
                <w:rFonts w:hint="eastAsia" w:ascii="宋体" w:hAnsi="宋体" w:cs="Times New Roman"/>
                <w:color w:val="000000"/>
                <w:szCs w:val="21"/>
                <w:lang w:eastAsia="zh-CN"/>
              </w:rPr>
              <w:t>、《设计评审》等</w:t>
            </w:r>
          </w:p>
          <w:p>
            <w:pPr>
              <w:spacing w:line="400" w:lineRule="exact"/>
              <w:rPr>
                <w:rFonts w:hint="eastAsia" w:ascii="宋体" w:hAnsi="宋体" w:cs="Times New Roman"/>
                <w:color w:val="000000"/>
                <w:szCs w:val="21"/>
              </w:rPr>
            </w:pPr>
            <w:r>
              <w:rPr>
                <w:rFonts w:hint="eastAsia" w:ascii="宋体" w:hAnsi="宋体" w:cs="Times New Roman"/>
                <w:color w:val="000000"/>
                <w:szCs w:val="21"/>
              </w:rPr>
              <w:t>e）保持、保留必要的文件和记录。---文件和</w:t>
            </w:r>
            <w:r>
              <w:rPr>
                <w:rFonts w:hint="eastAsia" w:ascii="宋体" w:hAnsi="宋体" w:cs="Times New Roman"/>
                <w:color w:val="000000"/>
                <w:szCs w:val="21"/>
                <w:lang w:eastAsia="zh-CN"/>
              </w:rPr>
              <w:t>质量记录</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---策划输出经过评审及跟进、必要的更改控制及 批准等以适合组织的运行需要。</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----外包过程：</w:t>
            </w:r>
            <w:r>
              <w:rPr>
                <w:rFonts w:hint="eastAsia" w:ascii="宋体" w:hAnsi="宋体" w:cs="Times New Roman"/>
                <w:b/>
                <w:bCs/>
                <w:color w:val="000000"/>
                <w:szCs w:val="21"/>
                <w:lang w:val="en-US" w:eastAsia="zh-CN"/>
              </w:rPr>
              <w:t>设备组装过程</w:t>
            </w:r>
          </w:p>
          <w:p>
            <w:pPr>
              <w:spacing w:line="400" w:lineRule="exact"/>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----特殊过程的识别：</w:t>
            </w:r>
            <w:r>
              <w:rPr>
                <w:rFonts w:hint="eastAsia" w:ascii="宋体" w:hAnsi="宋体" w:cs="宋体"/>
                <w:b/>
                <w:bCs/>
                <w:sz w:val="21"/>
                <w:szCs w:val="21"/>
                <w:u w:val="none"/>
                <w:lang w:eastAsia="zh-CN"/>
              </w:rPr>
              <w:t>技术研发过程</w:t>
            </w:r>
          </w:p>
          <w:p>
            <w:pPr>
              <w:spacing w:line="400" w:lineRule="exact"/>
              <w:rPr>
                <w:rFonts w:ascii="宋体" w:hAnsi="宋体"/>
                <w:szCs w:val="21"/>
              </w:rPr>
            </w:pPr>
            <w:r>
              <w:rPr>
                <w:rFonts w:hint="eastAsia" w:ascii="宋体" w:hAnsi="宋体" w:cs="Times New Roman"/>
                <w:color w:val="000000"/>
                <w:szCs w:val="21"/>
                <w:lang w:val="en-US" w:eastAsia="zh-CN"/>
              </w:rPr>
              <w:t>-----经确认：暂无策划的更改。</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szCs w:val="21"/>
                <w:highlight w:val="none"/>
              </w:rPr>
            </w:pPr>
            <w:r>
              <w:rPr>
                <w:rFonts w:hint="eastAsia" w:ascii="黑体" w:hAnsi="黑体" w:eastAsia="黑体" w:cs="宋体"/>
                <w:szCs w:val="21"/>
                <w:highlight w:val="none"/>
                <w:lang w:val="en-US" w:eastAsia="zh-CN"/>
              </w:rPr>
              <w:t>总则</w:t>
            </w:r>
          </w:p>
        </w:tc>
        <w:tc>
          <w:tcPr>
            <w:tcW w:w="960" w:type="dxa"/>
            <w:noWrap w:val="0"/>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8.3.1</w:t>
            </w:r>
          </w:p>
        </w:tc>
        <w:tc>
          <w:tcPr>
            <w:tcW w:w="10535" w:type="dxa"/>
            <w:noWrap w:val="0"/>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查，公司完善了设计开发的管理要求。</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公司的设计内容主要为：ZMCT30-AD变送器项目</w:t>
            </w:r>
          </w:p>
          <w:p>
            <w:pPr>
              <w:pStyle w:val="25"/>
              <w:numPr>
                <w:ilvl w:val="0"/>
                <w:numId w:val="0"/>
              </w:numPr>
              <w:jc w:val="left"/>
              <w:rPr>
                <w:rFonts w:hint="eastAsia" w:ascii="宋体" w:hAnsi="宋体" w:cs="Times New Roman"/>
                <w:color w:val="000000"/>
                <w:szCs w:val="21"/>
                <w:highlight w:val="yellow"/>
              </w:rPr>
            </w:pPr>
            <w:r>
              <w:rPr>
                <w:rFonts w:hint="eastAsia" w:ascii="宋体" w:hAnsi="宋体" w:eastAsia="宋体" w:cs="Times New Roman"/>
                <w:b w:val="0"/>
                <w:bCs/>
                <w:color w:val="000000"/>
                <w:kern w:val="2"/>
                <w:sz w:val="21"/>
                <w:szCs w:val="21"/>
                <w:lang w:val="en-US" w:eastAsia="zh-CN" w:bidi="ar-SA"/>
              </w:rPr>
              <w:t>系统概述和特点：卓微ZMCT30-AD自诊断变送器包括信号采集、数据分析、故障自动诊断、移动端监控等功能模块，该系统能够提前发现设备轴承、齿轮箱、发电机等部件故障的早期征兆，并对故障真伪、故障部位、故障类型、严重程度做出准确的判断。该系统支持加速度、转速传感器的接入，数据支持Modbus-RTU协议传输方式，适用于水泥、冶金、石油、化工、船舶、风力发电等多种行业，并能为不同行业定制专业解决方案，让客户更直观、更简便、更精准、更高效的处理设备故障，从而提高生产效率。</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设计和开发的策划</w:t>
            </w:r>
          </w:p>
        </w:tc>
        <w:tc>
          <w:tcPr>
            <w:tcW w:w="960" w:type="dxa"/>
            <w:noWrap w:val="0"/>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8.3.2</w:t>
            </w:r>
          </w:p>
        </w:tc>
        <w:tc>
          <w:tcPr>
            <w:tcW w:w="10535" w:type="dxa"/>
            <w:noWrap w:val="0"/>
            <w:vAlign w:val="top"/>
          </w:tcPr>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查公司编制的《设计与开发控制程序》</w:t>
            </w:r>
            <w:r>
              <w:rPr>
                <w:rFonts w:hint="eastAsia" w:ascii="宋体" w:hAnsi="宋体" w:cs="Times New Roman"/>
                <w:color w:val="000000"/>
                <w:szCs w:val="21"/>
                <w:lang w:val="zh-CN" w:eastAsia="zh-CN"/>
              </w:rPr>
              <w:t>对项目设计开发的内容进行了明确规定；</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查见：</w:t>
            </w:r>
            <w:r>
              <w:rPr>
                <w:rFonts w:hint="eastAsia" w:ascii="宋体" w:hAnsi="宋体" w:cs="Times New Roman"/>
                <w:color w:val="000000"/>
                <w:szCs w:val="21"/>
                <w:lang w:eastAsia="zh-CN"/>
              </w:rPr>
              <w:t>ZMCT30-AD变送器项目</w:t>
            </w:r>
            <w:r>
              <w:rPr>
                <w:rFonts w:hint="eastAsia" w:ascii="宋体" w:hAnsi="宋体" w:cs="Times New Roman"/>
                <w:color w:val="000000"/>
                <w:szCs w:val="21"/>
                <w:lang w:val="en-US" w:eastAsia="zh-CN"/>
              </w:rPr>
              <w:t>设计开发资料一套：</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公司设计开发流程是需求分析-概要设计-详细设计-编码-硬件采购-设备组装（外包）-测试验收。</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针对</w:t>
            </w:r>
            <w:r>
              <w:rPr>
                <w:rFonts w:hint="eastAsia" w:ascii="宋体" w:hAnsi="宋体" w:cs="Times New Roman"/>
                <w:color w:val="000000"/>
                <w:szCs w:val="21"/>
                <w:lang w:eastAsia="zh-CN"/>
              </w:rPr>
              <w:t>ZMCT30-AD变送器项目</w:t>
            </w:r>
            <w:r>
              <w:rPr>
                <w:rFonts w:hint="eastAsia" w:ascii="宋体" w:hAnsi="宋体" w:cs="Times New Roman"/>
                <w:color w:val="000000"/>
                <w:szCs w:val="21"/>
                <w:lang w:val="en-US" w:eastAsia="zh-CN"/>
              </w:rPr>
              <w:t>行设计开发策划，总经理下达产品设计任务书,技术研发部具体明确划分设计和开发的相关阶段，并规定了每个阶段的评审、验证和确认活动的主要职责和权限，对参与设计和开发的不同小组之间的接口实施了管理，使不同小组职责清楚、分工明确、沟通交流有效，保证了从事设计开发、制造和服务等专业的人员共同参与设计和开发活动的顺利进行。</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抽查：</w:t>
            </w:r>
            <w:r>
              <w:rPr>
                <w:rFonts w:hint="eastAsia" w:ascii="宋体" w:hAnsi="宋体" w:cs="Times New Roman"/>
                <w:color w:val="000000"/>
                <w:szCs w:val="21"/>
                <w:lang w:eastAsia="zh-CN"/>
              </w:rPr>
              <w:t>ZMCT30-AD变送器项目</w:t>
            </w:r>
            <w:r>
              <w:rPr>
                <w:rFonts w:hint="eastAsia" w:ascii="宋体" w:hAnsi="宋体" w:cs="Times New Roman"/>
                <w:color w:val="000000"/>
                <w:szCs w:val="21"/>
                <w:lang w:val="en-US" w:eastAsia="zh-CN"/>
              </w:rPr>
              <w:t>《设计开发项目计划》</w:t>
            </w:r>
          </w:p>
          <w:p>
            <w:pPr>
              <w:spacing w:line="400" w:lineRule="exact"/>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项目名称：</w:t>
            </w:r>
            <w:r>
              <w:rPr>
                <w:rFonts w:hint="eastAsia" w:ascii="宋体" w:hAnsi="宋体" w:cs="Times New Roman"/>
                <w:color w:val="000000"/>
                <w:szCs w:val="21"/>
                <w:lang w:eastAsia="zh-CN"/>
              </w:rPr>
              <w:t>ZMCT30-AD变送器项目</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1项目来源：设计开发，时间阶段：2021.7.10-2021.10.13，负责人：汪斌</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 xml:space="preserve">2输入的确定：见《ZMCT30-AD变送器项目设计开发输入清单》，评审意见：合格，评审人：刘世明  日期：2021.7.1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3资源配置：设备及仪器：PC电脑二台、笔记本电脑三台、服务器一台、手机一台等设备。</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4人员配置：汪斌、冯晟、段云、李升、杨一波</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5经费预算：五十万元</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6阶段划分：</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设计阶段：根据现场需求进行系统框架设计；进度要求：10天；责任人：汪斌；</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部署阶段：协调软硬件开始项目框架搭建；进度要求：5天；责任人：汪斌；</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c. 硬件设计阶段：根据设计要求，进行硬件PCB板的设计及其调试；进度要求：20天；责任人：李升；</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d. 软件设计阶段：进行软件系统的设计及其调试；进度要求：20天；责任人：汪斌；</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e.整机的调试阶段：寻找现场使用环境，进行设备试用；进度要求：30天；责任人：段云；</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f.现场试用阶段：协调软硬件开始项目框架搭建；进度要求：5天；责任人：汪斌；</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g.项目结案：完成项目结案，资料归档；进度要求：无；责任人：汪斌；</w:t>
            </w:r>
          </w:p>
          <w:p>
            <w:pPr>
              <w:spacing w:line="400" w:lineRule="exact"/>
              <w:rPr>
                <w:rFonts w:hint="eastAsia" w:ascii="宋体" w:hAnsi="宋体" w:cs="Times New Roman"/>
                <w:color w:val="000000"/>
                <w:szCs w:val="21"/>
              </w:rPr>
            </w:pPr>
            <w:r>
              <w:rPr>
                <w:rFonts w:hint="eastAsia" w:ascii="宋体" w:hAnsi="宋体" w:cs="Times New Roman"/>
                <w:color w:val="000000"/>
                <w:szCs w:val="21"/>
                <w:lang w:val="en-US" w:eastAsia="zh-CN"/>
              </w:rPr>
              <w:t>设计负责人，阶段时间要求、工作内容规定明确，符合要求</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设计和开发的输入</w:t>
            </w:r>
          </w:p>
        </w:tc>
        <w:tc>
          <w:tcPr>
            <w:tcW w:w="960" w:type="dxa"/>
            <w:noWrap w:val="0"/>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8.3.3</w:t>
            </w:r>
          </w:p>
        </w:tc>
        <w:tc>
          <w:tcPr>
            <w:tcW w:w="10535" w:type="dxa"/>
            <w:noWrap w:val="0"/>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提供有设计和开发输入资料：</w:t>
            </w:r>
          </w:p>
          <w:p>
            <w:pPr>
              <w:pStyle w:val="25"/>
            </w:pPr>
            <w:r>
              <w:rPr>
                <w:rFonts w:hint="eastAsia"/>
              </w:rPr>
              <w:t>功能要求</w:t>
            </w:r>
          </w:p>
          <w:p>
            <w:pPr>
              <w:pStyle w:val="26"/>
            </w:pPr>
            <w:r>
              <w:rPr>
                <w:rFonts w:hint="eastAsia"/>
              </w:rPr>
              <w:t>输入输出功能</w:t>
            </w:r>
          </w:p>
          <w:p>
            <w:pPr>
              <w:pStyle w:val="27"/>
              <w:ind w:left="840" w:leftChars="400"/>
            </w:pPr>
            <w:r>
              <w:rPr>
                <w:rFonts w:hint="eastAsia"/>
              </w:rPr>
              <w:t>电源部分</w:t>
            </w:r>
          </w:p>
          <w:p>
            <w:pPr>
              <w:ind w:left="1260" w:leftChars="600"/>
            </w:pPr>
            <w:r>
              <w:rPr>
                <w:rFonts w:hint="eastAsia"/>
              </w:rPr>
              <w:t>单变送器采用DC24V供电，功率控制在3.5W以内。预留接线端子2个为内部供电。</w:t>
            </w:r>
          </w:p>
          <w:p>
            <w:pPr>
              <w:ind w:left="1260" w:leftChars="600"/>
            </w:pPr>
            <w:r>
              <w:rPr>
                <w:rFonts w:hint="eastAsia"/>
              </w:rPr>
              <w:t>整机配电柜采用220VAC供电。配电柜预留3个接头为外部市电接入。</w:t>
            </w:r>
          </w:p>
          <w:p>
            <w:pPr>
              <w:pStyle w:val="27"/>
              <w:ind w:left="840" w:leftChars="400"/>
            </w:pPr>
            <w:r>
              <w:rPr>
                <w:rFonts w:hint="eastAsia"/>
              </w:rPr>
              <w:t>信号输入部分</w:t>
            </w:r>
          </w:p>
          <w:p>
            <w:pPr>
              <w:ind w:left="1260" w:leftChars="600"/>
            </w:pPr>
            <w:r>
              <w:rPr>
                <w:rFonts w:hint="eastAsia"/>
              </w:rPr>
              <w:t>加速度输入，传感器采用IEPE压电式加速度传感器，传感器量程100mv/g。测量量程默认为5g,可设置最大为80g。供电采用2-10mA恒流供电。</w:t>
            </w:r>
          </w:p>
          <w:p>
            <w:pPr>
              <w:ind w:left="1260" w:leftChars="600"/>
            </w:pPr>
            <w:r>
              <w:rPr>
                <w:rFonts w:hint="eastAsia"/>
              </w:rPr>
              <w:t>温度输入，采用IEPE压电式加速度传感器的温度输入，温度灵敏度系数为10mv/℃。温度测量范围为-40℃~60℃。25℃时输出电压为750mv。温度误差范围由传感器自身决定，后端电路不做处理。</w:t>
            </w:r>
          </w:p>
          <w:p>
            <w:pPr>
              <w:ind w:left="1260" w:firstLineChars="0"/>
            </w:pPr>
            <w:r>
              <w:rPr>
                <w:rFonts w:hint="eastAsia"/>
              </w:rPr>
              <w:t>转速输入，采用PNP型常开接近开关，或者PNP型常开霍尔磁性开关。配合外部金属片（磁铁）产生脉冲信号，获得转速值。传感器供电采用6-36V 宽电压供电。</w:t>
            </w:r>
          </w:p>
          <w:p>
            <w:pPr>
              <w:pStyle w:val="27"/>
              <w:ind w:left="840" w:leftChars="400"/>
            </w:pPr>
            <w:r>
              <w:rPr>
                <w:rFonts w:hint="eastAsia"/>
              </w:rPr>
              <w:t>信号输出部分</w:t>
            </w:r>
          </w:p>
          <w:p>
            <w:pPr>
              <w:ind w:left="1260"/>
            </w:pPr>
            <w:r>
              <w:rPr>
                <w:rFonts w:hint="eastAsia"/>
              </w:rPr>
              <w:t>整个系统输出量为5个分别为：</w:t>
            </w:r>
          </w:p>
          <w:p>
            <w:pPr>
              <w:ind w:left="1680"/>
            </w:pPr>
            <w:r>
              <w:rPr>
                <w:rFonts w:hint="eastAsia"/>
              </w:rPr>
              <w:t>加速度原始值输出。这个是未作任何处理的加速度值，通过BNC接头将传感器的原始数据输出。</w:t>
            </w:r>
          </w:p>
          <w:p>
            <w:pPr>
              <w:ind w:left="1680"/>
            </w:pPr>
            <w:r>
              <w:rPr>
                <w:rFonts w:hint="eastAsia"/>
              </w:rPr>
              <w:t>加速度变送输出，将加速度信号通过内部电路处理，然后通过处理器的DAC后产生的4-20mA的标准信号。</w:t>
            </w:r>
          </w:p>
          <w:p>
            <w:pPr>
              <w:ind w:left="1680"/>
            </w:pPr>
            <w:r>
              <w:rPr>
                <w:rFonts w:hint="eastAsia"/>
              </w:rPr>
              <w:t>速度变送输出，加速度信号通过内部硬件积分，变成速度信号。然后通过算法和处理器处理。产生4-20mA的标准信号。</w:t>
            </w:r>
          </w:p>
          <w:p>
            <w:pPr>
              <w:ind w:left="1680"/>
            </w:pPr>
            <w:r>
              <w:rPr>
                <w:rFonts w:hint="eastAsia"/>
              </w:rPr>
              <w:t>包络变送处理。将加速度信号，经过内部算法处理，获得包络值。然后通过处理器的DAC后产生的4-20mA的标准信号。</w:t>
            </w:r>
          </w:p>
          <w:p>
            <w:pPr>
              <w:ind w:left="1680"/>
            </w:pPr>
            <w:r>
              <w:rPr>
                <w:rFonts w:hint="eastAsia"/>
              </w:rPr>
              <w:t>温度变送输出，采集的温度值，经过电路处理，然后通过处理器的DAC后产生的4-20mA的标准信号。</w:t>
            </w:r>
          </w:p>
          <w:p>
            <w:pPr>
              <w:pStyle w:val="27"/>
              <w:ind w:left="840" w:leftChars="400"/>
            </w:pPr>
            <w:r>
              <w:rPr>
                <w:rFonts w:hint="eastAsia"/>
              </w:rPr>
              <w:t>通讯部分</w:t>
            </w:r>
          </w:p>
          <w:p>
            <w:pPr>
              <w:ind w:left="420"/>
            </w:pPr>
            <w:r>
              <w:rPr>
                <w:rFonts w:hint="eastAsia"/>
              </w:rPr>
              <w:t>通讯采用Modbus_RTU标准协议通讯。变送器内部使用串口转485的方式通讯。变送器外部预留两个接线端子。用于和上位机和智能显示通讯或者其他支持Modbus_RTU标准协议的设备通讯。</w:t>
            </w:r>
          </w:p>
          <w:p>
            <w:pPr>
              <w:pStyle w:val="26"/>
            </w:pPr>
            <w:r>
              <w:rPr>
                <w:rFonts w:hint="eastAsia"/>
              </w:rPr>
              <w:t>数据功能</w:t>
            </w:r>
          </w:p>
          <w:p>
            <w:r>
              <w:rPr>
                <w:rFonts w:hint="eastAsia"/>
              </w:rPr>
              <w:t>变送器内部数据处理，可实时获取加速度最大值（g）、速度有效值（mm/s）、包络值、转速值、温度值（℃）。这些数据需要实时保存在内存中。并通过标准协议提供给外部显示和使用。同时变送器内部将保存报警参数值，报警参数值有：加速度两级阈值、速度上两级阈值、包络两级阈值、温度上下限。这些值将保存在外部ROM中，实现掉电不消失。可以使用外部软件，远程读取和修改这预警值，从而实现远程控制功能。变送器可以诊断的7大报警故障的初始化参数掉电不消失，同时实现远程读取修改与上位机读取修改。</w:t>
            </w:r>
          </w:p>
          <w:p>
            <w:pPr>
              <w:pStyle w:val="26"/>
            </w:pPr>
            <w:r>
              <w:rPr>
                <w:rFonts w:hint="eastAsia"/>
              </w:rPr>
              <w:t>数据精度</w:t>
            </w:r>
          </w:p>
          <w:p>
            <w:pPr>
              <w:ind w:left="420"/>
            </w:pPr>
            <w:r>
              <w:rPr>
                <w:rFonts w:hint="eastAsia"/>
              </w:rPr>
              <w:t>加速度量程为5g，灵敏度系数为100mv/g的传感器配合下，加速度峰值最小分辨率为3mg。</w:t>
            </w:r>
          </w:p>
          <w:p>
            <w:pPr>
              <w:ind w:left="420"/>
            </w:pPr>
            <w:r>
              <w:rPr>
                <w:rFonts w:hint="eastAsia"/>
              </w:rPr>
              <w:t>加速度量程为5g，灵敏度系数为100mv/g的传感器配合下，速度有效值最小分辨率为0.02mm/s。</w:t>
            </w:r>
          </w:p>
          <w:p>
            <w:pPr>
              <w:ind w:left="420"/>
            </w:pPr>
            <w:r>
              <w:rPr>
                <w:rFonts w:hint="eastAsia"/>
              </w:rPr>
              <w:t>转速精度为+-1；</w:t>
            </w:r>
          </w:p>
          <w:p>
            <w:pPr>
              <w:ind w:left="420"/>
            </w:pPr>
            <w:r>
              <w:rPr>
                <w:rFonts w:hint="eastAsia"/>
              </w:rPr>
              <w:t>加速度响应频率为0.1Hz-10kHz（-3db）</w:t>
            </w:r>
          </w:p>
          <w:p>
            <w:pPr>
              <w:ind w:left="420"/>
            </w:pPr>
            <w:r>
              <w:rPr>
                <w:rFonts w:hint="eastAsia"/>
              </w:rPr>
              <w:t>速度的响应频率为：3Hz-1200Hz（-3db）</w:t>
            </w:r>
          </w:p>
          <w:p>
            <w:pPr>
              <w:ind w:left="420"/>
            </w:pPr>
            <w:r>
              <w:rPr>
                <w:rFonts w:hint="eastAsia"/>
              </w:rPr>
              <w:t>转速的响应频率为：5000Hz（由传感器决定）</w:t>
            </w:r>
          </w:p>
          <w:p>
            <w:pPr>
              <w:ind w:left="420"/>
            </w:pPr>
            <w:r>
              <w:rPr>
                <w:rFonts w:hint="eastAsia"/>
              </w:rPr>
              <w:t>温度误差±1℃（由传感器决定）</w:t>
            </w:r>
          </w:p>
          <w:p>
            <w:pPr>
              <w:pStyle w:val="26"/>
            </w:pPr>
            <w:r>
              <w:rPr>
                <w:rFonts w:hint="eastAsia"/>
              </w:rPr>
              <w:t>显示屏幕功能</w:t>
            </w:r>
          </w:p>
          <w:p>
            <w:pPr>
              <w:pStyle w:val="27"/>
            </w:pPr>
            <w:r>
              <w:rPr>
                <w:rFonts w:hint="eastAsia"/>
              </w:rPr>
              <w:t>显示功能</w:t>
            </w:r>
          </w:p>
          <w:p>
            <w:r>
              <w:rPr>
                <w:rFonts w:hint="eastAsia"/>
              </w:rPr>
              <w:t>显示屏可显示内容有振动加速度峰值、速度有效值、包络值、转速值、温度值（可选是否显示）、当前变送器编号、当前变送器名称、当前网络状态、轮询功能是否开启、声光功能是否开启、屏幕上状态报警指示灯（绿色表示正常、表示预警、红色表示报警）。显示自诊断故障类型。可查看历史曲线图。</w:t>
            </w:r>
          </w:p>
          <w:p>
            <w:pPr>
              <w:pStyle w:val="27"/>
            </w:pPr>
            <w:r>
              <w:rPr>
                <w:rFonts w:hint="eastAsia"/>
              </w:rPr>
              <w:t>设置功能</w:t>
            </w:r>
          </w:p>
          <w:p>
            <w:pPr>
              <w:pStyle w:val="21"/>
              <w:numPr>
                <w:ilvl w:val="0"/>
                <w:numId w:val="6"/>
              </w:numPr>
              <w:ind w:firstLineChars="0"/>
            </w:pPr>
            <w:r>
              <w:rPr>
                <w:rFonts w:hint="eastAsia"/>
              </w:rPr>
              <w:t>系统参数设置</w:t>
            </w:r>
          </w:p>
          <w:p>
            <w:pPr>
              <w:pStyle w:val="21"/>
              <w:ind w:left="840" w:firstLine="0" w:firstLineChars="0"/>
            </w:pPr>
            <w:r>
              <w:rPr>
                <w:rFonts w:hint="eastAsia"/>
              </w:rPr>
              <w:t>可设置变送器轮询起始地址和结束地址，设置轮询间隔时间。</w:t>
            </w:r>
          </w:p>
          <w:p>
            <w:pPr>
              <w:pStyle w:val="21"/>
              <w:numPr>
                <w:ilvl w:val="0"/>
                <w:numId w:val="6"/>
              </w:numPr>
              <w:ind w:firstLineChars="0"/>
            </w:pPr>
            <w:r>
              <w:rPr>
                <w:rFonts w:hint="eastAsia"/>
              </w:rPr>
              <w:t>采集参数设置</w:t>
            </w:r>
          </w:p>
          <w:p>
            <w:pPr>
              <w:pStyle w:val="21"/>
              <w:ind w:left="840" w:firstLine="0" w:firstLineChars="0"/>
            </w:pPr>
            <w:r>
              <w:rPr>
                <w:rFonts w:hint="eastAsia"/>
              </w:rPr>
              <w:t>转速部分，可设置转速有效范围，脉冲数，转速输入方式，转速测量范围，手动输入转速值。</w:t>
            </w:r>
          </w:p>
          <w:p>
            <w:pPr>
              <w:pStyle w:val="21"/>
              <w:ind w:left="840" w:firstLine="0" w:firstLineChars="0"/>
            </w:pPr>
            <w:r>
              <w:rPr>
                <w:rFonts w:hint="eastAsia"/>
              </w:rPr>
              <w:t>量程选择部分，可修改加速度量程、速度量程、包络量程、速度滤波带、包络滤波带。</w:t>
            </w:r>
          </w:p>
          <w:p>
            <w:pPr>
              <w:pStyle w:val="21"/>
              <w:ind w:left="840" w:firstLine="0" w:firstLineChars="0"/>
            </w:pPr>
            <w:r>
              <w:rPr>
                <w:rFonts w:hint="eastAsia"/>
              </w:rPr>
              <w:t>传感器参数设置，可设置传感器类型、模块类型（是否显示温度）、传感器灵敏度系数、温度灵敏度系数</w:t>
            </w:r>
          </w:p>
          <w:p>
            <w:pPr>
              <w:pStyle w:val="21"/>
              <w:numPr>
                <w:ilvl w:val="0"/>
                <w:numId w:val="6"/>
              </w:numPr>
              <w:ind w:firstLineChars="0"/>
            </w:pPr>
            <w:r>
              <w:rPr>
                <w:rFonts w:hint="eastAsia"/>
              </w:rPr>
              <w:t>诊断参数设置</w:t>
            </w:r>
          </w:p>
          <w:p>
            <w:pPr>
              <w:ind w:left="840" w:firstLine="0" w:firstLineChars="0"/>
            </w:pPr>
            <w:r>
              <w:rPr>
                <w:rFonts w:hint="eastAsia"/>
              </w:rPr>
              <w:t>可设置加速度、速度、包络、温度的报警阈值，报警阈值整数部分3位有效值、小数点部分3位有效值。</w:t>
            </w:r>
          </w:p>
          <w:p>
            <w:pPr>
              <w:ind w:left="840" w:firstLine="0" w:firstLineChars="0"/>
            </w:pPr>
            <w:r>
              <w:rPr>
                <w:rFonts w:hint="eastAsia"/>
              </w:rPr>
              <w:t>可设置自诊断故障初始化参数有：叶片、轴承1、轴承2、转子、齿轮、部件松动、其他等7大类故障的初始化参数。</w:t>
            </w:r>
          </w:p>
          <w:p>
            <w:pPr>
              <w:pStyle w:val="27"/>
            </w:pPr>
            <w:r>
              <w:rPr>
                <w:rFonts w:hint="eastAsia"/>
              </w:rPr>
              <w:t>通讯功能</w:t>
            </w:r>
          </w:p>
          <w:p>
            <w:pPr>
              <w:pStyle w:val="26"/>
            </w:pPr>
            <w:r>
              <w:rPr>
                <w:rFonts w:hint="eastAsia"/>
              </w:rPr>
              <w:t>报警指示功能</w:t>
            </w:r>
          </w:p>
          <w:p>
            <w:pPr>
              <w:pStyle w:val="27"/>
            </w:pPr>
            <w:r>
              <w:rPr>
                <w:rFonts w:hint="eastAsia"/>
              </w:rPr>
              <w:t>仪器报警与指示</w:t>
            </w:r>
          </w:p>
          <w:p>
            <w:r>
              <w:rPr>
                <w:rFonts w:hint="eastAsia"/>
              </w:rPr>
              <w:t>仪器报警，通过仪器上面的指示灯提示当前仪器状态，同时仪器指示灯报警只能提供超限报警，无法提供自诊断报警。仪器指示灯说明：</w:t>
            </w:r>
          </w:p>
          <w:p>
            <w:pPr>
              <w:tabs>
                <w:tab w:val="left" w:pos="2943"/>
              </w:tabs>
              <w:ind w:left="1470" w:leftChars="700"/>
            </w:pPr>
            <w:r>
              <w:rPr>
                <w:rFonts w:hint="eastAsia"/>
              </w:rPr>
              <w:t>CNT：</w:t>
            </w:r>
            <w:r>
              <w:rPr>
                <w:rFonts w:hint="eastAsia"/>
              </w:rPr>
              <w:tab/>
            </w:r>
          </w:p>
          <w:p>
            <w:pPr>
              <w:tabs>
                <w:tab w:val="left" w:pos="2730"/>
              </w:tabs>
              <w:ind w:left="1470" w:leftChars="700"/>
            </w:pPr>
            <w:r>
              <w:rPr>
                <w:rFonts w:hint="eastAsia"/>
              </w:rPr>
              <w:tab/>
            </w:r>
            <w:r>
              <w:rPr>
                <w:rFonts w:hint="eastAsia"/>
              </w:rPr>
              <w:tab/>
            </w:r>
            <w:r>
              <w:rPr>
                <w:rFonts w:hint="eastAsia"/>
              </w:rPr>
              <w:t>常亮</w:t>
            </w:r>
            <w:r>
              <w:rPr>
                <w:rFonts w:hint="eastAsia"/>
              </w:rPr>
              <w:tab/>
            </w:r>
            <w:r>
              <w:rPr>
                <w:rFonts w:hint="eastAsia"/>
              </w:rPr>
              <w:t xml:space="preserve">   </w:t>
            </w:r>
            <w:r>
              <w:rPr>
                <w:rFonts w:hint="eastAsia"/>
              </w:rPr>
              <w:tab/>
            </w:r>
            <w:r>
              <w:rPr>
                <w:rFonts w:hint="eastAsia"/>
              </w:rPr>
              <w:t>电源工作状态正常</w:t>
            </w:r>
          </w:p>
          <w:p>
            <w:pPr>
              <w:ind w:left="2352" w:leftChars="1120"/>
            </w:pPr>
            <w:r>
              <w:rPr>
                <w:rFonts w:hint="eastAsia"/>
              </w:rPr>
              <w:t xml:space="preserve">闪烁 </w:t>
            </w:r>
            <w:r>
              <w:rPr>
                <w:rFonts w:hint="eastAsia"/>
              </w:rPr>
              <w:tab/>
            </w:r>
            <w:r>
              <w:rPr>
                <w:rFonts w:hint="eastAsia"/>
              </w:rPr>
              <w:tab/>
            </w:r>
            <w:r>
              <w:rPr>
                <w:rFonts w:hint="eastAsia"/>
              </w:rPr>
              <w:t>振动传感器或温度传感器故障，</w:t>
            </w:r>
          </w:p>
          <w:p>
            <w:pPr>
              <w:ind w:left="1470" w:leftChars="700"/>
            </w:pPr>
            <w:r>
              <w:rPr>
                <w:rFonts w:hint="eastAsia"/>
              </w:rPr>
              <w:t>RUN</w:t>
            </w:r>
          </w:p>
          <w:p>
            <w:pPr>
              <w:ind w:left="2352" w:leftChars="1120"/>
            </w:pPr>
            <w:r>
              <w:rPr>
                <w:rFonts w:hint="eastAsia"/>
              </w:rPr>
              <w:t>闪烁</w:t>
            </w:r>
            <w:r>
              <w:rPr>
                <w:rFonts w:hint="eastAsia"/>
              </w:rPr>
              <w:tab/>
            </w:r>
            <w:r>
              <w:rPr>
                <w:rFonts w:hint="eastAsia"/>
              </w:rPr>
              <w:tab/>
            </w:r>
            <w:r>
              <w:rPr>
                <w:rFonts w:hint="eastAsia"/>
              </w:rPr>
              <w:t>变送器运行正常，</w:t>
            </w:r>
          </w:p>
          <w:p>
            <w:pPr>
              <w:ind w:left="2352" w:leftChars="1120"/>
            </w:pPr>
            <w:r>
              <w:rPr>
                <w:rFonts w:hint="eastAsia"/>
              </w:rPr>
              <w:t xml:space="preserve">灯灭，不闪烁  </w:t>
            </w:r>
            <w:r>
              <w:rPr>
                <w:rFonts w:hint="eastAsia"/>
              </w:rPr>
              <w:tab/>
            </w:r>
            <w:r>
              <w:rPr>
                <w:rFonts w:hint="eastAsia"/>
              </w:rPr>
              <w:t>变送器死机故障</w:t>
            </w:r>
          </w:p>
          <w:p>
            <w:pPr>
              <w:ind w:left="1470" w:leftChars="700"/>
            </w:pPr>
            <w:r>
              <w:rPr>
                <w:rFonts w:hint="eastAsia"/>
              </w:rPr>
              <w:t>ACC：</w:t>
            </w:r>
          </w:p>
          <w:p>
            <w:pPr>
              <w:ind w:left="1470" w:leftChars="700" w:firstLine="1260" w:firstLineChars="600"/>
            </w:pPr>
            <w:r>
              <w:rPr>
                <w:rFonts w:hint="eastAsia"/>
              </w:rPr>
              <w:t>灯灭      加速度正常</w:t>
            </w:r>
          </w:p>
          <w:p>
            <w:pPr>
              <w:ind w:left="2352" w:leftChars="1120"/>
            </w:pPr>
            <w:r>
              <w:rPr>
                <w:rFonts w:hint="eastAsia"/>
              </w:rPr>
              <w:t xml:space="preserve">慢闪 </w:t>
            </w:r>
            <w:r>
              <w:rPr>
                <w:rFonts w:hint="eastAsia"/>
              </w:rPr>
              <w:tab/>
            </w:r>
            <w:r>
              <w:rPr>
                <w:rFonts w:hint="eastAsia"/>
              </w:rPr>
              <w:tab/>
            </w:r>
            <w:r>
              <w:rPr>
                <w:rFonts w:hint="eastAsia"/>
              </w:rPr>
              <w:t>加速度预警，</w:t>
            </w:r>
          </w:p>
          <w:p>
            <w:pPr>
              <w:ind w:left="2352" w:leftChars="1120"/>
            </w:pPr>
            <w:r>
              <w:rPr>
                <w:rFonts w:hint="eastAsia"/>
              </w:rPr>
              <w:t xml:space="preserve">快闪  </w:t>
            </w:r>
            <w:r>
              <w:rPr>
                <w:rFonts w:hint="eastAsia"/>
              </w:rPr>
              <w:tab/>
            </w:r>
            <w:r>
              <w:rPr>
                <w:rFonts w:hint="eastAsia"/>
              </w:rPr>
              <w:t>加速度报警</w:t>
            </w:r>
          </w:p>
          <w:p>
            <w:pPr>
              <w:ind w:left="1470" w:leftChars="700"/>
            </w:pPr>
            <w:r>
              <w:rPr>
                <w:rFonts w:hint="eastAsia"/>
              </w:rPr>
              <w:t>VEL</w:t>
            </w:r>
          </w:p>
          <w:p>
            <w:pPr>
              <w:ind w:left="1470" w:leftChars="700" w:firstLine="1260" w:firstLineChars="600"/>
            </w:pPr>
            <w:r>
              <w:rPr>
                <w:rFonts w:hint="eastAsia"/>
              </w:rPr>
              <w:t>灯灭      速度正常</w:t>
            </w:r>
          </w:p>
          <w:p>
            <w:pPr>
              <w:ind w:left="2352" w:leftChars="1120"/>
            </w:pPr>
            <w:r>
              <w:rPr>
                <w:rFonts w:hint="eastAsia"/>
              </w:rPr>
              <w:t xml:space="preserve">慢闪 </w:t>
            </w:r>
            <w:r>
              <w:rPr>
                <w:rFonts w:hint="eastAsia"/>
              </w:rPr>
              <w:tab/>
            </w:r>
            <w:r>
              <w:rPr>
                <w:rFonts w:hint="eastAsia"/>
              </w:rPr>
              <w:tab/>
            </w:r>
            <w:r>
              <w:rPr>
                <w:rFonts w:hint="eastAsia"/>
              </w:rPr>
              <w:t>速度预警，</w:t>
            </w:r>
          </w:p>
          <w:p>
            <w:pPr>
              <w:ind w:left="2352" w:leftChars="1120"/>
            </w:pPr>
            <w:r>
              <w:rPr>
                <w:rFonts w:hint="eastAsia"/>
              </w:rPr>
              <w:t xml:space="preserve">快闪  </w:t>
            </w:r>
            <w:r>
              <w:rPr>
                <w:rFonts w:hint="eastAsia"/>
              </w:rPr>
              <w:tab/>
            </w:r>
            <w:r>
              <w:rPr>
                <w:rFonts w:hint="eastAsia"/>
              </w:rPr>
              <w:t>速度报警</w:t>
            </w:r>
          </w:p>
          <w:p>
            <w:pPr>
              <w:ind w:left="1470" w:leftChars="700"/>
            </w:pPr>
            <w:r>
              <w:rPr>
                <w:rFonts w:hint="eastAsia"/>
              </w:rPr>
              <w:t>ENV</w:t>
            </w:r>
          </w:p>
          <w:p>
            <w:pPr>
              <w:ind w:left="1470" w:leftChars="700" w:firstLine="1260" w:firstLineChars="600"/>
            </w:pPr>
            <w:r>
              <w:rPr>
                <w:rFonts w:hint="eastAsia"/>
              </w:rPr>
              <w:t>灯灭      包络正常</w:t>
            </w:r>
          </w:p>
          <w:p>
            <w:pPr>
              <w:ind w:left="2352" w:leftChars="1120"/>
            </w:pPr>
            <w:r>
              <w:rPr>
                <w:rFonts w:hint="eastAsia"/>
              </w:rPr>
              <w:t xml:space="preserve">慢闪 </w:t>
            </w:r>
            <w:r>
              <w:rPr>
                <w:rFonts w:hint="eastAsia"/>
              </w:rPr>
              <w:tab/>
            </w:r>
            <w:r>
              <w:rPr>
                <w:rFonts w:hint="eastAsia"/>
              </w:rPr>
              <w:tab/>
            </w:r>
            <w:r>
              <w:rPr>
                <w:rFonts w:hint="eastAsia"/>
              </w:rPr>
              <w:t>包络预警，</w:t>
            </w:r>
          </w:p>
          <w:p>
            <w:pPr>
              <w:ind w:left="2352" w:leftChars="1120"/>
            </w:pPr>
            <w:r>
              <w:rPr>
                <w:rFonts w:hint="eastAsia"/>
              </w:rPr>
              <w:t xml:space="preserve">快闪  </w:t>
            </w:r>
            <w:r>
              <w:rPr>
                <w:rFonts w:hint="eastAsia"/>
              </w:rPr>
              <w:tab/>
            </w:r>
            <w:r>
              <w:rPr>
                <w:rFonts w:hint="eastAsia"/>
              </w:rPr>
              <w:t>包络报警</w:t>
            </w:r>
          </w:p>
          <w:p>
            <w:pPr>
              <w:ind w:left="1470" w:leftChars="700"/>
            </w:pPr>
            <w:r>
              <w:rPr>
                <w:rFonts w:hint="eastAsia"/>
              </w:rPr>
              <w:t>TEMP</w:t>
            </w:r>
          </w:p>
          <w:p>
            <w:pPr>
              <w:ind w:left="1470" w:leftChars="700" w:firstLine="1260" w:firstLineChars="600"/>
            </w:pPr>
            <w:r>
              <w:rPr>
                <w:rFonts w:hint="eastAsia"/>
              </w:rPr>
              <w:t>灯灭      温度正常</w:t>
            </w:r>
          </w:p>
          <w:p>
            <w:pPr>
              <w:ind w:left="2352" w:leftChars="1120"/>
            </w:pPr>
            <w:r>
              <w:rPr>
                <w:rFonts w:hint="eastAsia"/>
              </w:rPr>
              <w:t xml:space="preserve">慢闪 </w:t>
            </w:r>
            <w:r>
              <w:rPr>
                <w:rFonts w:hint="eastAsia"/>
              </w:rPr>
              <w:tab/>
            </w:r>
            <w:r>
              <w:rPr>
                <w:rFonts w:hint="eastAsia"/>
              </w:rPr>
              <w:tab/>
            </w:r>
            <w:r>
              <w:rPr>
                <w:rFonts w:hint="eastAsia"/>
              </w:rPr>
              <w:t>温度预警，</w:t>
            </w:r>
          </w:p>
          <w:p>
            <w:pPr>
              <w:ind w:left="2352" w:leftChars="1120"/>
            </w:pPr>
            <w:r>
              <w:rPr>
                <w:rFonts w:hint="eastAsia"/>
              </w:rPr>
              <w:t xml:space="preserve">快闪  </w:t>
            </w:r>
            <w:r>
              <w:rPr>
                <w:rFonts w:hint="eastAsia"/>
              </w:rPr>
              <w:tab/>
            </w:r>
            <w:r>
              <w:rPr>
                <w:rFonts w:hint="eastAsia"/>
              </w:rPr>
              <w:t>温度报警</w:t>
            </w:r>
          </w:p>
          <w:p>
            <w:pPr>
              <w:pStyle w:val="27"/>
            </w:pPr>
            <w:r>
              <w:rPr>
                <w:rFonts w:hint="eastAsia"/>
              </w:rPr>
              <w:t>显示屏报警与指示</w:t>
            </w:r>
          </w:p>
          <w:p>
            <w:r>
              <w:rPr>
                <w:rFonts w:hint="eastAsia"/>
              </w:rPr>
              <w:t>显示屏上指示灯提供报警信息，绿色-数据正常</w:t>
            </w:r>
          </w:p>
          <w:p>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黄色-数据超过预警值</w:t>
            </w:r>
          </w:p>
          <w:p>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红色-数据超过报警值</w:t>
            </w:r>
          </w:p>
          <w:p>
            <w:r>
              <w:rPr>
                <w:rFonts w:hint="eastAsia"/>
              </w:rPr>
              <w:t>加速度、速度、包络、温度报警才具有指示说明。其他自诊断报警直接使用文字提示。</w:t>
            </w:r>
          </w:p>
          <w:p>
            <w:pPr>
              <w:pStyle w:val="27"/>
            </w:pPr>
            <w:r>
              <w:rPr>
                <w:rFonts w:hint="eastAsia"/>
              </w:rPr>
              <w:t>外部声光报警</w:t>
            </w:r>
          </w:p>
          <w:p>
            <w:r>
              <w:rPr>
                <w:rFonts w:hint="eastAsia"/>
              </w:rPr>
              <w:t>针对带柜体的设备，外部输出加速度、速度、包络、温度的声光报警控制信号。</w:t>
            </w:r>
          </w:p>
          <w:p>
            <w:pPr>
              <w:pStyle w:val="27"/>
            </w:pPr>
            <w:r>
              <w:t>A</w:t>
            </w:r>
            <w:r>
              <w:rPr>
                <w:rFonts w:hint="eastAsia"/>
              </w:rPr>
              <w:t>pp报警</w:t>
            </w:r>
          </w:p>
          <w:p>
            <w:r>
              <w:t>A</w:t>
            </w:r>
            <w:r>
              <w:rPr>
                <w:rFonts w:hint="eastAsia"/>
              </w:rPr>
              <w:t>pp软件上，根据数据上传间隔周期性刷新显示预警，报警信息，同时对于自诊断故障给予文字提示。</w:t>
            </w:r>
          </w:p>
          <w:p>
            <w:pPr>
              <w:pStyle w:val="27"/>
            </w:pPr>
            <w:r>
              <w:rPr>
                <w:rFonts w:hint="eastAsia"/>
              </w:rPr>
              <w:t>短信报警</w:t>
            </w:r>
          </w:p>
          <w:p>
            <w:r>
              <w:rPr>
                <w:rFonts w:hint="eastAsia"/>
              </w:rPr>
              <w:t>将预警和报警信息通过短信的方式。推送到指定的用户手机。</w:t>
            </w:r>
          </w:p>
          <w:p>
            <w:pPr>
              <w:pStyle w:val="25"/>
            </w:pPr>
            <w:r>
              <w:rPr>
                <w:rFonts w:hint="eastAsia"/>
              </w:rPr>
              <w:t>性能指标</w:t>
            </w:r>
          </w:p>
          <w:p>
            <w:pPr>
              <w:pStyle w:val="26"/>
            </w:pPr>
            <w:r>
              <w:rPr>
                <w:rFonts w:hint="eastAsia"/>
              </w:rPr>
              <w:t>电气性能</w:t>
            </w:r>
          </w:p>
          <w:tbl>
            <w:tblPr>
              <w:tblStyle w:val="13"/>
              <w:tblW w:w="9513" w:type="dxa"/>
              <w:tblInd w:w="93" w:type="dxa"/>
              <w:tblLayout w:type="fixed"/>
              <w:tblCellMar>
                <w:top w:w="0" w:type="dxa"/>
                <w:left w:w="108" w:type="dxa"/>
                <w:bottom w:w="0" w:type="dxa"/>
                <w:right w:w="108" w:type="dxa"/>
              </w:tblCellMar>
            </w:tblPr>
            <w:tblGrid>
              <w:gridCol w:w="1800"/>
              <w:gridCol w:w="2440"/>
              <w:gridCol w:w="5273"/>
            </w:tblGrid>
            <w:tr>
              <w:tblPrEx>
                <w:tblCellMar>
                  <w:top w:w="0" w:type="dxa"/>
                  <w:left w:w="108" w:type="dxa"/>
                  <w:bottom w:w="0" w:type="dxa"/>
                  <w:right w:w="108" w:type="dxa"/>
                </w:tblCellMar>
              </w:tblPrEx>
              <w:trPr>
                <w:trHeight w:val="27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0" w:firstLineChars="0"/>
                    <w:jc w:val="center"/>
                    <w:rPr>
                      <w:rFonts w:ascii="宋体" w:hAnsi="宋体" w:cs="宋体"/>
                      <w:color w:val="000000"/>
                      <w:kern w:val="0"/>
                      <w:sz w:val="22"/>
                    </w:rPr>
                  </w:pPr>
                  <w:r>
                    <w:rPr>
                      <w:rFonts w:hint="eastAsia" w:ascii="宋体" w:hAnsi="宋体" w:cs="宋体"/>
                      <w:color w:val="000000"/>
                      <w:kern w:val="0"/>
                      <w:sz w:val="22"/>
                    </w:rPr>
                    <w:t>技术指标：</w:t>
                  </w:r>
                </w:p>
              </w:tc>
              <w:tc>
                <w:tcPr>
                  <w:tcW w:w="2440"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5273"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270" w:hRule="atLeast"/>
              </w:trPr>
              <w:tc>
                <w:tcPr>
                  <w:tcW w:w="18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采样通道</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加速度传感器</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IEPE加速度传感器（温度可选）</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themeColor="text1"/>
                      <w:kern w:val="0"/>
                      <w:sz w:val="22"/>
                    </w:rPr>
                  </w:pPr>
                  <w:r>
                    <w:rPr>
                      <w:rFonts w:hint="eastAsia" w:ascii="宋体" w:hAnsi="宋体" w:cs="宋体"/>
                      <w:color w:val="000000" w:themeColor="text1"/>
                      <w:kern w:val="0"/>
                      <w:sz w:val="22"/>
                    </w:rPr>
                    <w:t>转速传感器</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themeColor="text1"/>
                      <w:kern w:val="0"/>
                      <w:sz w:val="22"/>
                    </w:rPr>
                  </w:pPr>
                  <w:r>
                    <w:rPr>
                      <w:rFonts w:hint="eastAsia" w:ascii="宋体" w:hAnsi="宋体" w:cs="宋体"/>
                      <w:color w:val="000000" w:themeColor="text1"/>
                      <w:kern w:val="0"/>
                      <w:sz w:val="22"/>
                    </w:rPr>
                    <w:t>PNP型三线制常</w:t>
                  </w:r>
                  <w:r>
                    <w:rPr>
                      <w:rFonts w:hint="eastAsia"/>
                      <w:color w:val="000000" w:themeColor="text1"/>
                    </w:rPr>
                    <w:t>开型</w:t>
                  </w:r>
                  <w:r>
                    <w:rPr>
                      <w:rFonts w:hint="eastAsia" w:ascii="宋体" w:hAnsi="宋体" w:cs="宋体"/>
                      <w:color w:val="000000" w:themeColor="text1"/>
                      <w:kern w:val="0"/>
                      <w:sz w:val="22"/>
                    </w:rPr>
                    <w:t>接近开关、</w:t>
                  </w:r>
                  <w:r>
                    <w:rPr>
                      <w:rFonts w:hint="eastAsia"/>
                      <w:color w:val="000000" w:themeColor="text1"/>
                    </w:rPr>
                    <w:t>常开型霍尔磁性开关</w:t>
                  </w:r>
                </w:p>
              </w:tc>
            </w:tr>
            <w:tr>
              <w:tblPrEx>
                <w:tblCellMar>
                  <w:top w:w="0" w:type="dxa"/>
                  <w:left w:w="108" w:type="dxa"/>
                  <w:bottom w:w="0" w:type="dxa"/>
                  <w:right w:w="108" w:type="dxa"/>
                </w:tblCellMar>
              </w:tblPrEx>
              <w:trPr>
                <w:trHeight w:val="270" w:hRule="atLeast"/>
              </w:trPr>
              <w:tc>
                <w:tcPr>
                  <w:tcW w:w="1800" w:type="dxa"/>
                  <w:tcBorders>
                    <w:top w:val="nil"/>
                    <w:left w:val="single" w:color="auto" w:sz="4" w:space="0"/>
                    <w:bottom w:val="nil"/>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灵敏度系数</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加速度可选系数</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可选100mv/g、</w:t>
                  </w:r>
                  <w:r>
                    <w:rPr>
                      <w:rFonts w:hint="eastAsia" w:ascii="宋体" w:hAnsi="宋体" w:cs="宋体"/>
                      <w:color w:val="000000" w:themeColor="text1"/>
                      <w:kern w:val="0"/>
                      <w:sz w:val="22"/>
                    </w:rPr>
                    <w:t>500mv/g，显示屏可手动设置</w:t>
                  </w:r>
                </w:p>
              </w:tc>
            </w:tr>
            <w:tr>
              <w:tblPrEx>
                <w:tblCellMar>
                  <w:top w:w="0" w:type="dxa"/>
                  <w:left w:w="108" w:type="dxa"/>
                  <w:bottom w:w="0" w:type="dxa"/>
                  <w:right w:w="108" w:type="dxa"/>
                </w:tblCellMar>
              </w:tblPrEx>
              <w:trPr>
                <w:trHeight w:val="345" w:hRule="atLeast"/>
              </w:trPr>
              <w:tc>
                <w:tcPr>
                  <w:tcW w:w="18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输出值类型+单位</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加速度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峰值(g)</w:t>
                  </w:r>
                </w:p>
              </w:tc>
            </w:tr>
            <w:tr>
              <w:tblPrEx>
                <w:tblCellMar>
                  <w:top w:w="0" w:type="dxa"/>
                  <w:left w:w="108" w:type="dxa"/>
                  <w:bottom w:w="0" w:type="dxa"/>
                  <w:right w:w="108" w:type="dxa"/>
                </w:tblCellMar>
              </w:tblPrEx>
              <w:trPr>
                <w:trHeight w:val="330"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速度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有效值(mm/s)</w:t>
                  </w:r>
                </w:p>
              </w:tc>
            </w:tr>
            <w:tr>
              <w:tblPrEx>
                <w:tblCellMar>
                  <w:top w:w="0" w:type="dxa"/>
                  <w:left w:w="108" w:type="dxa"/>
                  <w:bottom w:w="0" w:type="dxa"/>
                  <w:right w:w="108" w:type="dxa"/>
                </w:tblCellMar>
              </w:tblPrEx>
              <w:trPr>
                <w:trHeight w:val="330"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转速</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xml:space="preserve"> (rpm) </w:t>
                  </w:r>
                </w:p>
              </w:tc>
            </w:tr>
            <w:tr>
              <w:tblPrEx>
                <w:tblCellMar>
                  <w:top w:w="0" w:type="dxa"/>
                  <w:left w:w="108" w:type="dxa"/>
                  <w:bottom w:w="0" w:type="dxa"/>
                  <w:right w:w="108" w:type="dxa"/>
                </w:tblCellMar>
              </w:tblPrEx>
              <w:trPr>
                <w:trHeight w:val="270" w:hRule="atLeast"/>
              </w:trPr>
              <w:tc>
                <w:tcPr>
                  <w:tcW w:w="18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量程</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加速度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5g、</w:t>
                  </w:r>
                  <w:r>
                    <w:rPr>
                      <w:rFonts w:hint="eastAsia" w:ascii="宋体" w:hAnsi="宋体" w:cs="宋体"/>
                      <w:color w:val="000000" w:themeColor="text1"/>
                      <w:kern w:val="0"/>
                      <w:sz w:val="22"/>
                    </w:rPr>
                    <w:t>20g、50g、80g</w:t>
                  </w:r>
                  <w:r>
                    <w:rPr>
                      <w:rFonts w:hint="eastAsia" w:ascii="宋体" w:hAnsi="宋体" w:cs="宋体"/>
                      <w:color w:val="000000"/>
                      <w:kern w:val="0"/>
                      <w:sz w:val="22"/>
                    </w:rPr>
                    <w:t>可设置</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速度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10mm/s、20mm/s、35mm/s、50mm/s、</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包络</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5gE、10gE、20gE、40gE、50gE、80gE</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转速</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6-20000转　</w:t>
                  </w:r>
                </w:p>
              </w:tc>
            </w:tr>
            <w:tr>
              <w:tblPrEx>
                <w:tblCellMar>
                  <w:top w:w="0" w:type="dxa"/>
                  <w:left w:w="108" w:type="dxa"/>
                  <w:bottom w:w="0" w:type="dxa"/>
                  <w:right w:w="108" w:type="dxa"/>
                </w:tblCellMar>
              </w:tblPrEx>
              <w:trPr>
                <w:trHeight w:val="270" w:hRule="atLeast"/>
              </w:trPr>
              <w:tc>
                <w:tcPr>
                  <w:tcW w:w="18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滤波带</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速度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2Hz-1000Hz、10Hz-1000Hz、</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包络</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0Hz、500Hz、1000Hz、2000Hz、</w:t>
                  </w:r>
                </w:p>
              </w:tc>
            </w:tr>
            <w:tr>
              <w:tblPrEx>
                <w:tblCellMar>
                  <w:top w:w="0" w:type="dxa"/>
                  <w:left w:w="108" w:type="dxa"/>
                  <w:bottom w:w="0" w:type="dxa"/>
                  <w:right w:w="108" w:type="dxa"/>
                </w:tblCellMar>
              </w:tblPrEx>
              <w:trPr>
                <w:trHeight w:val="270" w:hRule="atLeast"/>
              </w:trPr>
              <w:tc>
                <w:tcPr>
                  <w:tcW w:w="18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频率响应</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加速度（-3db）</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0.1Hz-10K</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速度（-3db）</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2Hz-1200Hz</w:t>
                  </w:r>
                </w:p>
              </w:tc>
            </w:tr>
            <w:tr>
              <w:tblPrEx>
                <w:tblCellMar>
                  <w:top w:w="0" w:type="dxa"/>
                  <w:left w:w="108" w:type="dxa"/>
                  <w:bottom w:w="0" w:type="dxa"/>
                  <w:right w:w="108" w:type="dxa"/>
                </w:tblCellMar>
              </w:tblPrEx>
              <w:trPr>
                <w:trHeight w:val="270"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b/>
                      <w:color w:val="FF0000"/>
                      <w:kern w:val="0"/>
                      <w:sz w:val="22"/>
                    </w:rPr>
                  </w:pPr>
                  <w:r>
                    <w:rPr>
                      <w:rFonts w:hint="eastAsia" w:ascii="宋体" w:hAnsi="宋体" w:cs="宋体"/>
                      <w:b/>
                      <w:color w:val="FF0000"/>
                      <w:kern w:val="0"/>
                      <w:sz w:val="22"/>
                    </w:rPr>
                    <w:t>可设置采样率</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b/>
                      <w:color w:val="FF0000"/>
                      <w:kern w:val="0"/>
                      <w:sz w:val="22"/>
                    </w:rPr>
                  </w:pPr>
                  <w:r>
                    <w:rPr>
                      <w:rFonts w:hint="eastAsia" w:ascii="宋体" w:hAnsi="宋体" w:cs="宋体"/>
                      <w:b/>
                      <w:color w:val="FF0000"/>
                      <w:kern w:val="0"/>
                      <w:sz w:val="22"/>
                    </w:rPr>
                    <w:t>最大采样率</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b/>
                      <w:color w:val="FF0000"/>
                      <w:kern w:val="0"/>
                      <w:sz w:val="22"/>
                    </w:rPr>
                  </w:pPr>
                  <w:r>
                    <w:rPr>
                      <w:rFonts w:hint="eastAsia" w:ascii="宋体" w:hAnsi="宋体" w:cs="宋体"/>
                      <w:b/>
                      <w:color w:val="FF0000"/>
                      <w:kern w:val="0"/>
                      <w:sz w:val="22"/>
                    </w:rPr>
                    <w:t>25600Hz</w:t>
                  </w:r>
                </w:p>
              </w:tc>
            </w:tr>
            <w:tr>
              <w:tblPrEx>
                <w:tblCellMar>
                  <w:top w:w="0" w:type="dxa"/>
                  <w:left w:w="108" w:type="dxa"/>
                  <w:bottom w:w="0" w:type="dxa"/>
                  <w:right w:w="108" w:type="dxa"/>
                </w:tblCellMar>
              </w:tblPrEx>
              <w:trPr>
                <w:trHeight w:val="270" w:hRule="atLeast"/>
              </w:trPr>
              <w:tc>
                <w:tcPr>
                  <w:tcW w:w="1800" w:type="dxa"/>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b/>
                      <w:color w:val="FF0000"/>
                      <w:kern w:val="0"/>
                      <w:sz w:val="22"/>
                    </w:rPr>
                  </w:pPr>
                  <w:r>
                    <w:rPr>
                      <w:rFonts w:hint="eastAsia" w:ascii="宋体" w:hAnsi="宋体" w:cs="宋体"/>
                      <w:b/>
                      <w:color w:val="FF0000"/>
                      <w:kern w:val="0"/>
                      <w:sz w:val="22"/>
                    </w:rPr>
                    <w:t>最大采样点数</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b/>
                      <w:color w:val="FF0000"/>
                      <w:kern w:val="0"/>
                      <w:sz w:val="22"/>
                    </w:rPr>
                  </w:pPr>
                  <w:r>
                    <w:rPr>
                      <w:rFonts w:ascii="宋体" w:hAnsi="宋体" w:cs="宋体"/>
                      <w:b/>
                      <w:color w:val="FF0000"/>
                      <w:kern w:val="0"/>
                      <w:sz w:val="22"/>
                    </w:rPr>
                    <w:t>单次采样</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b/>
                      <w:color w:val="FF0000"/>
                      <w:kern w:val="0"/>
                      <w:sz w:val="22"/>
                    </w:rPr>
                  </w:pPr>
                  <w:r>
                    <w:rPr>
                      <w:rFonts w:hint="eastAsia" w:ascii="宋体" w:hAnsi="宋体" w:cs="宋体"/>
                      <w:b/>
                      <w:color w:val="FF0000"/>
                      <w:kern w:val="0"/>
                      <w:sz w:val="22"/>
                    </w:rPr>
                    <w:t>12800点</w:t>
                  </w:r>
                </w:p>
              </w:tc>
            </w:tr>
            <w:tr>
              <w:tblPrEx>
                <w:tblCellMar>
                  <w:top w:w="0" w:type="dxa"/>
                  <w:left w:w="108" w:type="dxa"/>
                  <w:bottom w:w="0" w:type="dxa"/>
                  <w:right w:w="108" w:type="dxa"/>
                </w:tblCellMar>
              </w:tblPrEx>
              <w:trPr>
                <w:trHeight w:val="270" w:hRule="atLeast"/>
              </w:trPr>
              <w:tc>
                <w:tcPr>
                  <w:tcW w:w="18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b/>
                      <w:color w:val="FF0000"/>
                      <w:kern w:val="0"/>
                      <w:sz w:val="22"/>
                    </w:rPr>
                  </w:pPr>
                  <w:r>
                    <w:rPr>
                      <w:rFonts w:hint="eastAsia" w:ascii="宋体" w:hAnsi="宋体" w:cs="宋体"/>
                      <w:b/>
                      <w:color w:val="FF0000"/>
                      <w:kern w:val="0"/>
                      <w:sz w:val="22"/>
                    </w:rPr>
                    <w:t>最小分辨率</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b/>
                      <w:color w:val="FF0000"/>
                      <w:kern w:val="0"/>
                      <w:sz w:val="22"/>
                    </w:rPr>
                  </w:pPr>
                  <w:r>
                    <w:rPr>
                      <w:rFonts w:hint="eastAsia" w:ascii="宋体" w:hAnsi="宋体" w:cs="宋体"/>
                      <w:b/>
                      <w:color w:val="FF0000"/>
                      <w:kern w:val="0"/>
                      <w:sz w:val="22"/>
                    </w:rPr>
                    <w:t>加速度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b/>
                      <w:color w:val="FF0000"/>
                      <w:kern w:val="0"/>
                      <w:sz w:val="22"/>
                    </w:rPr>
                  </w:pPr>
                  <w:r>
                    <w:rPr>
                      <w:rFonts w:hint="eastAsia" w:ascii="宋体" w:hAnsi="宋体" w:cs="宋体"/>
                      <w:b/>
                      <w:color w:val="FF0000"/>
                      <w:kern w:val="0"/>
                      <w:sz w:val="22"/>
                    </w:rPr>
                    <w:t>0.003g</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b/>
                      <w:color w:val="FF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b/>
                      <w:color w:val="FF0000"/>
                      <w:kern w:val="0"/>
                      <w:sz w:val="22"/>
                    </w:rPr>
                  </w:pPr>
                  <w:r>
                    <w:rPr>
                      <w:rFonts w:hint="eastAsia" w:ascii="宋体" w:hAnsi="宋体" w:cs="宋体"/>
                      <w:b/>
                      <w:color w:val="FF0000"/>
                      <w:kern w:val="0"/>
                      <w:sz w:val="22"/>
                    </w:rPr>
                    <w:t>速度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b/>
                      <w:color w:val="FF0000"/>
                      <w:kern w:val="0"/>
                      <w:sz w:val="22"/>
                    </w:rPr>
                  </w:pPr>
                  <w:r>
                    <w:rPr>
                      <w:rFonts w:hint="eastAsia" w:ascii="宋体" w:hAnsi="宋体" w:cs="宋体"/>
                      <w:b/>
                      <w:color w:val="FF0000"/>
                      <w:kern w:val="0"/>
                      <w:sz w:val="22"/>
                    </w:rPr>
                    <w:t>0.02mm/s</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b/>
                      <w:color w:val="FF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b/>
                      <w:color w:val="FF0000"/>
                      <w:kern w:val="0"/>
                      <w:sz w:val="22"/>
                    </w:rPr>
                  </w:pPr>
                  <w:r>
                    <w:rPr>
                      <w:rFonts w:hint="eastAsia" w:ascii="宋体" w:hAnsi="宋体" w:cs="宋体"/>
                      <w:b/>
                      <w:color w:val="FF0000"/>
                      <w:kern w:val="0"/>
                      <w:sz w:val="22"/>
                    </w:rPr>
                    <w:t>转速</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b/>
                      <w:color w:val="FF0000"/>
                      <w:kern w:val="0"/>
                      <w:sz w:val="22"/>
                    </w:rPr>
                  </w:pPr>
                  <w:r>
                    <w:rPr>
                      <w:rFonts w:hint="eastAsia" w:ascii="宋体" w:hAnsi="宋体" w:cs="宋体"/>
                      <w:b/>
                      <w:color w:val="FF0000"/>
                      <w:kern w:val="0"/>
                      <w:sz w:val="22"/>
                    </w:rPr>
                    <w:t>0.1rpm</w:t>
                  </w:r>
                </w:p>
              </w:tc>
            </w:tr>
            <w:tr>
              <w:tblPrEx>
                <w:tblCellMar>
                  <w:top w:w="0" w:type="dxa"/>
                  <w:left w:w="108" w:type="dxa"/>
                  <w:bottom w:w="0" w:type="dxa"/>
                  <w:right w:w="108" w:type="dxa"/>
                </w:tblCellMar>
              </w:tblPrEx>
              <w:trPr>
                <w:trHeight w:val="270"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转速输入类型</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手动输入、采集输入</w:t>
                  </w:r>
                </w:p>
              </w:tc>
            </w:tr>
            <w:tr>
              <w:tblPrEx>
                <w:tblCellMar>
                  <w:top w:w="0" w:type="dxa"/>
                  <w:left w:w="108" w:type="dxa"/>
                  <w:bottom w:w="0" w:type="dxa"/>
                  <w:right w:w="108" w:type="dxa"/>
                </w:tblCellMar>
              </w:tblPrEx>
              <w:trPr>
                <w:trHeight w:val="270"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供电方式</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变送器24VDC供电，整机220VAC供电</w:t>
                  </w:r>
                </w:p>
              </w:tc>
            </w:tr>
            <w:tr>
              <w:tblPrEx>
                <w:tblCellMar>
                  <w:top w:w="0" w:type="dxa"/>
                  <w:left w:w="108" w:type="dxa"/>
                  <w:bottom w:w="0" w:type="dxa"/>
                  <w:right w:w="108" w:type="dxa"/>
                </w:tblCellMar>
              </w:tblPrEx>
              <w:trPr>
                <w:trHeight w:val="270"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BNC输出</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加速度原始信号缓冲输出</w:t>
                  </w:r>
                </w:p>
              </w:tc>
            </w:tr>
            <w:tr>
              <w:tblPrEx>
                <w:tblCellMar>
                  <w:top w:w="0" w:type="dxa"/>
                  <w:left w:w="108" w:type="dxa"/>
                  <w:bottom w:w="0" w:type="dxa"/>
                  <w:right w:w="108" w:type="dxa"/>
                </w:tblCellMar>
              </w:tblPrEx>
              <w:trPr>
                <w:trHeight w:val="270" w:hRule="atLeast"/>
              </w:trPr>
              <w:tc>
                <w:tcPr>
                  <w:tcW w:w="18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变送输出</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加速度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4-20mA标准工业信号输出</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速度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4-20mA标准工业信号输出</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包络</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4-20mA标准工业信号输出</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温度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4-20mA标准工业信号输出</w:t>
                  </w:r>
                </w:p>
              </w:tc>
            </w:tr>
            <w:tr>
              <w:tblPrEx>
                <w:tblCellMar>
                  <w:top w:w="0" w:type="dxa"/>
                  <w:left w:w="108" w:type="dxa"/>
                  <w:bottom w:w="0" w:type="dxa"/>
                  <w:right w:w="108" w:type="dxa"/>
                </w:tblCellMar>
              </w:tblPrEx>
              <w:trPr>
                <w:trHeight w:val="270" w:hRule="atLeast"/>
              </w:trPr>
              <w:tc>
                <w:tcPr>
                  <w:tcW w:w="18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报警内容</w:t>
                  </w:r>
                </w:p>
              </w:tc>
              <w:tc>
                <w:tcPr>
                  <w:tcW w:w="24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变送器指示灯报警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运行正常指示灯</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传感器开路报警指示</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加速度预警、报警指示、超量程提示</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速度预警、报警指示、超量程提示</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包络预警、报警指示、超量程提示</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温度预警、报警指示、超量程提示</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显示屏报警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界面提示报警。</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FF0000"/>
                      <w:kern w:val="0"/>
                      <w:sz w:val="22"/>
                    </w:rPr>
                  </w:pPr>
                  <w:r>
                    <w:rPr>
                      <w:rFonts w:hint="eastAsia" w:ascii="宋体" w:hAnsi="宋体" w:cs="宋体"/>
                      <w:color w:val="FF0000"/>
                      <w:kern w:val="0"/>
                      <w:sz w:val="22"/>
                    </w:rPr>
                    <w:t>故障类型界面提示。（暂定，考虑显示屏可能有局限性）</w:t>
                  </w:r>
                </w:p>
              </w:tc>
            </w:tr>
            <w:tr>
              <w:tblPrEx>
                <w:tblCellMar>
                  <w:top w:w="0" w:type="dxa"/>
                  <w:left w:w="108" w:type="dxa"/>
                  <w:bottom w:w="0" w:type="dxa"/>
                  <w:right w:w="108" w:type="dxa"/>
                </w:tblCellMar>
              </w:tblPrEx>
              <w:trPr>
                <w:trHeight w:val="270"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APP报警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报警数据、类型上传到服务器，APP更新报警</w:t>
                  </w:r>
                </w:p>
              </w:tc>
            </w:tr>
            <w:tr>
              <w:tblPrEx>
                <w:tblCellMar>
                  <w:top w:w="0" w:type="dxa"/>
                  <w:left w:w="108" w:type="dxa"/>
                  <w:bottom w:w="0" w:type="dxa"/>
                  <w:right w:w="108" w:type="dxa"/>
                </w:tblCellMar>
              </w:tblPrEx>
              <w:trPr>
                <w:trHeight w:val="270" w:hRule="atLeast"/>
              </w:trPr>
              <w:tc>
                <w:tcPr>
                  <w:tcW w:w="1800" w:type="dxa"/>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22"/>
                    </w:rPr>
                  </w:pP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外部声光报警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FF0000"/>
                      <w:kern w:val="0"/>
                      <w:sz w:val="22"/>
                    </w:rPr>
                  </w:pPr>
                  <w:r>
                    <w:rPr>
                      <w:rFonts w:hint="eastAsia" w:ascii="宋体" w:hAnsi="宋体" w:cs="宋体"/>
                      <w:color w:val="FF0000"/>
                      <w:kern w:val="0"/>
                      <w:sz w:val="22"/>
                    </w:rPr>
                    <w:t>外部声光报警控制</w:t>
                  </w:r>
                </w:p>
              </w:tc>
            </w:tr>
            <w:tr>
              <w:tblPrEx>
                <w:tblCellMar>
                  <w:top w:w="0" w:type="dxa"/>
                  <w:left w:w="108" w:type="dxa"/>
                  <w:bottom w:w="0" w:type="dxa"/>
                  <w:right w:w="108" w:type="dxa"/>
                </w:tblCellMar>
              </w:tblPrEx>
              <w:trPr>
                <w:trHeight w:val="270"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温度范围</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工作温度</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xml:space="preserve"> -40到+80℃</w:t>
                  </w:r>
                </w:p>
              </w:tc>
            </w:tr>
            <w:tr>
              <w:tblPrEx>
                <w:tblCellMar>
                  <w:top w:w="0" w:type="dxa"/>
                  <w:left w:w="108" w:type="dxa"/>
                  <w:bottom w:w="0" w:type="dxa"/>
                  <w:right w:w="108" w:type="dxa"/>
                </w:tblCellMar>
              </w:tblPrEx>
              <w:trPr>
                <w:trHeight w:val="270"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显示屏通讯协议</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标准Modbus RTU协议、4G</w:t>
                  </w:r>
                </w:p>
              </w:tc>
            </w:tr>
            <w:tr>
              <w:tblPrEx>
                <w:tblCellMar>
                  <w:top w:w="0" w:type="dxa"/>
                  <w:left w:w="108" w:type="dxa"/>
                  <w:bottom w:w="0" w:type="dxa"/>
                  <w:right w:w="108" w:type="dxa"/>
                </w:tblCellMar>
              </w:tblPrEx>
              <w:trPr>
                <w:trHeight w:val="270"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参数设置方式</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　</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FF0000"/>
                      <w:kern w:val="0"/>
                      <w:sz w:val="22"/>
                    </w:rPr>
                  </w:pPr>
                  <w:r>
                    <w:rPr>
                      <w:rFonts w:hint="eastAsia" w:ascii="宋体" w:hAnsi="宋体" w:cs="宋体"/>
                      <w:color w:val="FF0000"/>
                      <w:kern w:val="0"/>
                      <w:sz w:val="22"/>
                    </w:rPr>
                    <w:t>显示屏通过ModBus协议向变送器设置参数</w:t>
                  </w:r>
                </w:p>
              </w:tc>
            </w:tr>
            <w:tr>
              <w:tblPrEx>
                <w:tblCellMar>
                  <w:top w:w="0" w:type="dxa"/>
                  <w:left w:w="108" w:type="dxa"/>
                  <w:bottom w:w="0" w:type="dxa"/>
                  <w:right w:w="108" w:type="dxa"/>
                </w:tblCellMar>
              </w:tblPrEx>
              <w:trPr>
                <w:trHeight w:val="270"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color w:val="000000"/>
                      <w:kern w:val="0"/>
                      <w:sz w:val="22"/>
                    </w:rPr>
                  </w:pPr>
                  <w:r>
                    <w:rPr>
                      <w:rFonts w:hint="eastAsia" w:ascii="宋体" w:hAnsi="宋体" w:cs="宋体"/>
                      <w:color w:val="000000"/>
                      <w:kern w:val="0"/>
                      <w:sz w:val="22"/>
                    </w:rPr>
                    <w:t>功耗</w:t>
                  </w:r>
                </w:p>
              </w:tc>
              <w:tc>
                <w:tcPr>
                  <w:tcW w:w="2440"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单个变送器功耗</w:t>
                  </w:r>
                </w:p>
              </w:tc>
              <w:tc>
                <w:tcPr>
                  <w:tcW w:w="5273"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ascii="宋体" w:hAnsi="宋体" w:cs="宋体"/>
                      <w:color w:val="000000"/>
                      <w:kern w:val="0"/>
                      <w:sz w:val="22"/>
                    </w:rPr>
                  </w:pPr>
                  <w:r>
                    <w:rPr>
                      <w:rFonts w:hint="eastAsia" w:ascii="宋体" w:hAnsi="宋体" w:cs="宋体"/>
                      <w:color w:val="000000"/>
                      <w:kern w:val="0"/>
                      <w:sz w:val="22"/>
                    </w:rPr>
                    <w:t>&lt;3.5w</w:t>
                  </w:r>
                </w:p>
              </w:tc>
            </w:tr>
          </w:tbl>
          <w:p>
            <w:pPr>
              <w:ind w:firstLine="0" w:firstLineChars="0"/>
            </w:pPr>
          </w:p>
          <w:p>
            <w:pPr>
              <w:pStyle w:val="26"/>
            </w:pPr>
            <w:r>
              <w:rPr>
                <w:rFonts w:hint="eastAsia"/>
              </w:rPr>
              <w:t>机械结构</w:t>
            </w:r>
          </w:p>
          <w:p>
            <w:pPr>
              <w:ind w:left="420"/>
            </w:pPr>
            <w:r>
              <w:rPr>
                <w:rFonts w:hint="eastAsia"/>
              </w:rPr>
              <w:t>外部结构采用</w:t>
            </w:r>
          </w:p>
          <w:p>
            <w:pPr>
              <w:pStyle w:val="26"/>
            </w:pPr>
            <w:r>
              <w:rPr>
                <w:rFonts w:hint="eastAsia"/>
              </w:rPr>
              <w:t>接口设计</w:t>
            </w:r>
          </w:p>
          <w:p>
            <w:pPr>
              <w:ind w:left="420" w:leftChars="200" w:firstLine="210" w:firstLineChars="100"/>
            </w:pPr>
            <w:r>
              <w:rPr>
                <w:rFonts w:hint="eastAsia"/>
              </w:rPr>
              <w:t>对外接口包含：</w:t>
            </w:r>
            <w:r>
              <w:rPr>
                <w:rFonts w:hint="eastAsia"/>
              </w:rPr>
              <w:tab/>
            </w:r>
          </w:p>
          <w:p>
            <w:pPr>
              <w:pStyle w:val="21"/>
              <w:numPr>
                <w:ilvl w:val="5"/>
                <w:numId w:val="7"/>
              </w:numPr>
              <w:ind w:firstLineChars="0"/>
            </w:pPr>
            <w:r>
              <w:rPr>
                <w:rFonts w:hint="eastAsia"/>
              </w:rPr>
              <w:t>电源输入接口正负极各一个；</w:t>
            </w:r>
          </w:p>
          <w:p>
            <w:pPr>
              <w:pStyle w:val="21"/>
              <w:numPr>
                <w:ilvl w:val="5"/>
                <w:numId w:val="7"/>
              </w:numPr>
              <w:ind w:firstLineChars="0"/>
            </w:pPr>
            <w:r>
              <w:rPr>
                <w:rFonts w:hint="eastAsia"/>
              </w:rPr>
              <w:t>IEPE加速度传感器输入接口预留3个接线端，信号+、信号-、温度+；</w:t>
            </w:r>
          </w:p>
          <w:p>
            <w:pPr>
              <w:pStyle w:val="21"/>
              <w:numPr>
                <w:ilvl w:val="5"/>
                <w:numId w:val="7"/>
              </w:numPr>
              <w:ind w:firstLineChars="0"/>
            </w:pPr>
            <w:r>
              <w:rPr>
                <w:rFonts w:hint="eastAsia"/>
              </w:rPr>
              <w:t>转速传感器接口预留3个接线端，供电、转速输入、转速GND；</w:t>
            </w:r>
          </w:p>
          <w:p>
            <w:pPr>
              <w:pStyle w:val="21"/>
              <w:numPr>
                <w:ilvl w:val="5"/>
                <w:numId w:val="7"/>
              </w:numPr>
              <w:ind w:firstLineChars="0"/>
            </w:pPr>
            <w:r>
              <w:rPr>
                <w:rFonts w:hint="eastAsia"/>
              </w:rPr>
              <w:t>外部Modbus通讯接口预留2个接线端，信号A与信号B；</w:t>
            </w:r>
          </w:p>
          <w:p>
            <w:pPr>
              <w:pStyle w:val="21"/>
              <w:numPr>
                <w:ilvl w:val="5"/>
                <w:numId w:val="7"/>
              </w:numPr>
              <w:ind w:firstLineChars="0"/>
            </w:pPr>
            <w:r>
              <w:rPr>
                <w:rFonts w:hint="eastAsia"/>
              </w:rPr>
              <w:t>加速度信号输出接口BNC接口1个;</w:t>
            </w:r>
          </w:p>
          <w:p>
            <w:pPr>
              <w:pStyle w:val="21"/>
              <w:numPr>
                <w:ilvl w:val="5"/>
                <w:numId w:val="7"/>
              </w:numPr>
              <w:ind w:firstLineChars="0"/>
            </w:pPr>
            <w:r>
              <w:t>调试串口信号接口</w:t>
            </w:r>
            <w:r>
              <w:rPr>
                <w:rFonts w:hint="eastAsia"/>
              </w:rPr>
              <w:t>，预留3个接线口（可以引出，根据结构需要再处理）</w:t>
            </w:r>
          </w:p>
          <w:p>
            <w:pPr>
              <w:pStyle w:val="21"/>
              <w:numPr>
                <w:ilvl w:val="5"/>
                <w:numId w:val="7"/>
              </w:numPr>
              <w:ind w:firstLineChars="0"/>
            </w:pPr>
            <w:r>
              <w:rPr>
                <w:rFonts w:hint="eastAsia"/>
              </w:rPr>
              <w:t>加速度、速度、温度、包络输出，共计4个接口。每个接口 预留2个接线端。信号输出、信号GND。</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2相关的法律法规标准要求：</w:t>
            </w:r>
          </w:p>
          <w:p>
            <w:pPr>
              <w:spacing w:line="400" w:lineRule="exact"/>
              <w:rPr>
                <w:rFonts w:hint="eastAsia" w:ascii="宋体" w:hAnsi="宋体"/>
                <w:sz w:val="21"/>
                <w:szCs w:val="21"/>
              </w:rPr>
            </w:pPr>
            <w:r>
              <w:rPr>
                <w:rFonts w:hint="eastAsia" w:ascii="宋体" w:hAnsi="宋体" w:cs="Times New Roman"/>
                <w:color w:val="000000"/>
                <w:szCs w:val="21"/>
              </w:rPr>
              <w:t>企业集成企业建模框架GB/T 16642-2008</w:t>
            </w:r>
            <w:r>
              <w:rPr>
                <w:rFonts w:hint="eastAsia" w:ascii="宋体" w:hAnsi="宋体" w:cs="Times New Roman"/>
                <w:color w:val="000000"/>
                <w:szCs w:val="21"/>
                <w:lang w:eastAsia="zh-CN"/>
              </w:rPr>
              <w:t>、</w:t>
            </w:r>
            <w:r>
              <w:rPr>
                <w:rFonts w:hint="eastAsia" w:ascii="宋体" w:hAnsi="宋体"/>
                <w:sz w:val="21"/>
                <w:szCs w:val="21"/>
              </w:rPr>
              <w:t>民用机载计算机软件质量保证大纲编写指南HB 7233-1995</w:t>
            </w:r>
            <w:r>
              <w:rPr>
                <w:rFonts w:hint="eastAsia" w:ascii="宋体" w:hAnsi="宋体"/>
                <w:sz w:val="21"/>
                <w:szCs w:val="21"/>
                <w:lang w:eastAsia="zh-CN"/>
              </w:rPr>
              <w:t>、</w:t>
            </w:r>
            <w:r>
              <w:rPr>
                <w:rFonts w:hint="eastAsia" w:ascii="宋体" w:hAnsi="宋体"/>
                <w:sz w:val="21"/>
                <w:szCs w:val="21"/>
              </w:rPr>
              <w:t>信息</w:t>
            </w:r>
            <w:r>
              <w:rPr>
                <w:rFonts w:hint="eastAsia" w:ascii="宋体" w:hAnsi="宋体"/>
                <w:sz w:val="21"/>
                <w:szCs w:val="21"/>
                <w:lang w:eastAsia="zh-CN"/>
              </w:rPr>
              <w:t>研发</w:t>
            </w:r>
            <w:r>
              <w:rPr>
                <w:rFonts w:hint="eastAsia" w:ascii="宋体" w:hAnsi="宋体"/>
                <w:sz w:val="21"/>
                <w:szCs w:val="21"/>
              </w:rPr>
              <w:t>软件维护GB/T 20157-2006</w:t>
            </w:r>
            <w:r>
              <w:rPr>
                <w:rFonts w:hint="eastAsia" w:ascii="宋体" w:hAnsi="宋体"/>
                <w:sz w:val="21"/>
                <w:szCs w:val="21"/>
                <w:lang w:eastAsia="zh-CN"/>
              </w:rPr>
              <w:t>、</w:t>
            </w:r>
            <w:r>
              <w:rPr>
                <w:rFonts w:hint="eastAsia" w:ascii="宋体" w:hAnsi="宋体"/>
                <w:sz w:val="21"/>
                <w:szCs w:val="21"/>
              </w:rPr>
              <w:t>企业信息化系统集成实施指南GB/T 26327-2010</w:t>
            </w:r>
            <w:r>
              <w:rPr>
                <w:rFonts w:hint="eastAsia" w:ascii="宋体" w:hAnsi="宋体"/>
                <w:sz w:val="21"/>
                <w:szCs w:val="21"/>
                <w:lang w:eastAsia="zh-CN"/>
              </w:rPr>
              <w:t>、</w:t>
            </w:r>
            <w:r>
              <w:rPr>
                <w:rFonts w:hint="eastAsia" w:ascii="宋体" w:hAnsi="宋体"/>
                <w:sz w:val="21"/>
                <w:szCs w:val="21"/>
              </w:rPr>
              <w:t>计算机软件测试文档编制规范GB/T 9386-2008</w:t>
            </w:r>
            <w:r>
              <w:rPr>
                <w:rFonts w:hint="eastAsia" w:ascii="宋体" w:hAnsi="宋体"/>
                <w:sz w:val="21"/>
                <w:szCs w:val="21"/>
                <w:lang w:eastAsia="zh-CN"/>
              </w:rPr>
              <w:t>、</w:t>
            </w:r>
            <w:r>
              <w:rPr>
                <w:rFonts w:hint="eastAsia" w:ascii="宋体" w:hAnsi="宋体"/>
                <w:sz w:val="21"/>
                <w:szCs w:val="21"/>
              </w:rPr>
              <w:t>软件工程 产品质量 第</w:t>
            </w:r>
            <w:r>
              <w:rPr>
                <w:rFonts w:hint="eastAsia" w:ascii="宋体" w:hAnsi="宋体"/>
                <w:sz w:val="21"/>
                <w:szCs w:val="21"/>
                <w:lang w:val="en-US" w:eastAsia="zh-CN"/>
              </w:rPr>
              <w:t>1</w:t>
            </w:r>
            <w:r>
              <w:rPr>
                <w:rFonts w:hint="eastAsia" w:ascii="宋体" w:hAnsi="宋体"/>
                <w:sz w:val="21"/>
                <w:szCs w:val="21"/>
              </w:rPr>
              <w:t>部分:</w:t>
            </w:r>
            <w:r>
              <w:rPr>
                <w:rFonts w:hint="eastAsia" w:ascii="宋体" w:hAnsi="宋体"/>
                <w:sz w:val="21"/>
                <w:szCs w:val="21"/>
                <w:lang w:val="en-US" w:eastAsia="zh-CN"/>
              </w:rPr>
              <w:t>质量模型、</w:t>
            </w:r>
            <w:r>
              <w:rPr>
                <w:rFonts w:hint="eastAsia" w:ascii="宋体" w:hAnsi="宋体"/>
                <w:sz w:val="21"/>
                <w:szCs w:val="21"/>
              </w:rPr>
              <w:t>GB/T 16260.2-2006</w:t>
            </w:r>
            <w:r>
              <w:rPr>
                <w:rFonts w:hint="eastAsia" w:ascii="宋体" w:hAnsi="宋体"/>
                <w:sz w:val="21"/>
                <w:szCs w:val="21"/>
                <w:lang w:eastAsia="zh-CN"/>
              </w:rPr>
              <w:t>、</w:t>
            </w:r>
            <w:r>
              <w:rPr>
                <w:rFonts w:hint="eastAsia" w:ascii="宋体" w:hAnsi="宋体"/>
                <w:sz w:val="21"/>
                <w:szCs w:val="21"/>
              </w:rPr>
              <w:t>软件工程 产品质量 第2部分:外部度量</w:t>
            </w:r>
            <w:r>
              <w:rPr>
                <w:rFonts w:hint="eastAsia" w:ascii="宋体" w:hAnsi="宋体"/>
                <w:sz w:val="21"/>
                <w:szCs w:val="21"/>
                <w:lang w:val="en-US" w:eastAsia="zh-CN"/>
              </w:rPr>
              <w:t>、</w:t>
            </w:r>
            <w:r>
              <w:rPr>
                <w:rFonts w:hint="eastAsia" w:ascii="宋体" w:hAnsi="宋体"/>
                <w:sz w:val="21"/>
                <w:szCs w:val="21"/>
              </w:rPr>
              <w:t>GB/T 16260.2-2006软件工程 产品质量 第</w:t>
            </w:r>
            <w:r>
              <w:rPr>
                <w:rFonts w:hint="eastAsia" w:ascii="宋体" w:hAnsi="宋体"/>
                <w:sz w:val="21"/>
                <w:szCs w:val="21"/>
                <w:lang w:val="en-US" w:eastAsia="zh-CN"/>
              </w:rPr>
              <w:t>3</w:t>
            </w:r>
            <w:r>
              <w:rPr>
                <w:rFonts w:hint="eastAsia" w:ascii="宋体" w:hAnsi="宋体"/>
                <w:sz w:val="21"/>
                <w:szCs w:val="21"/>
              </w:rPr>
              <w:t>部分:</w:t>
            </w:r>
            <w:r>
              <w:rPr>
                <w:rFonts w:hint="eastAsia" w:ascii="宋体" w:hAnsi="宋体"/>
                <w:sz w:val="21"/>
                <w:szCs w:val="21"/>
                <w:lang w:val="en-US" w:eastAsia="zh-CN"/>
              </w:rPr>
              <w:t>内部度量</w:t>
            </w:r>
            <w:r>
              <w:rPr>
                <w:rFonts w:hint="eastAsia" w:ascii="宋体" w:hAnsi="宋体"/>
                <w:sz w:val="21"/>
                <w:szCs w:val="21"/>
                <w:lang w:eastAsia="zh-CN"/>
              </w:rPr>
              <w:t>、</w:t>
            </w:r>
            <w:r>
              <w:rPr>
                <w:rFonts w:hint="eastAsia" w:ascii="宋体" w:hAnsi="宋体"/>
                <w:sz w:val="21"/>
                <w:szCs w:val="21"/>
              </w:rPr>
              <w:t>GB/T 16260.2-2006软件工程 产品质量 第</w:t>
            </w:r>
            <w:r>
              <w:rPr>
                <w:rFonts w:hint="eastAsia" w:ascii="宋体" w:hAnsi="宋体"/>
                <w:sz w:val="21"/>
                <w:szCs w:val="21"/>
                <w:lang w:val="en-US" w:eastAsia="zh-CN"/>
              </w:rPr>
              <w:t>4</w:t>
            </w:r>
            <w:r>
              <w:rPr>
                <w:rFonts w:hint="eastAsia" w:ascii="宋体" w:hAnsi="宋体"/>
                <w:sz w:val="21"/>
                <w:szCs w:val="21"/>
              </w:rPr>
              <w:t>部分:</w:t>
            </w:r>
            <w:r>
              <w:rPr>
                <w:rFonts w:hint="eastAsia" w:ascii="宋体" w:hAnsi="宋体"/>
                <w:sz w:val="21"/>
                <w:szCs w:val="21"/>
                <w:lang w:val="en-US" w:eastAsia="zh-CN"/>
              </w:rPr>
              <w:t>使用质量</w:t>
            </w:r>
            <w:r>
              <w:rPr>
                <w:rFonts w:hint="eastAsia" w:ascii="宋体" w:hAnsi="宋体"/>
                <w:sz w:val="21"/>
                <w:szCs w:val="21"/>
              </w:rPr>
              <w:t>GB/T 16260.2-2006</w:t>
            </w:r>
            <w:r>
              <w:rPr>
                <w:rFonts w:hint="eastAsia" w:ascii="宋体" w:hAnsi="宋体"/>
                <w:sz w:val="21"/>
                <w:szCs w:val="21"/>
                <w:lang w:eastAsia="zh-CN"/>
              </w:rPr>
              <w:t>等</w:t>
            </w:r>
            <w:r>
              <w:rPr>
                <w:rFonts w:hint="eastAsia" w:ascii="宋体" w:hAnsi="宋体"/>
                <w:sz w:val="21"/>
                <w:szCs w:val="21"/>
              </w:rPr>
              <w:t>及依据顾客</w:t>
            </w:r>
            <w:r>
              <w:rPr>
                <w:rFonts w:hint="eastAsia" w:ascii="宋体" w:hAnsi="宋体"/>
                <w:sz w:val="21"/>
                <w:szCs w:val="21"/>
                <w:lang w:eastAsia="zh-CN"/>
              </w:rPr>
              <w:t>技术</w:t>
            </w:r>
            <w:r>
              <w:rPr>
                <w:rFonts w:hint="eastAsia" w:ascii="宋体" w:hAnsi="宋体"/>
                <w:sz w:val="21"/>
                <w:szCs w:val="21"/>
              </w:rPr>
              <w:t>要求</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3参考资料：相关标准以及以往的系统设计资料… …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4其他要求：如客户提出的扩展要求、成本要求等。</w:t>
            </w:r>
          </w:p>
          <w:p>
            <w:pPr>
              <w:spacing w:line="400" w:lineRule="exact"/>
              <w:rPr>
                <w:rFonts w:hint="default" w:ascii="宋体" w:hAnsi="宋体" w:cs="Times New Roman"/>
                <w:color w:val="000000"/>
                <w:szCs w:val="21"/>
                <w:lang w:val="en-US"/>
              </w:rPr>
            </w:pPr>
            <w:r>
              <w:rPr>
                <w:rFonts w:hint="eastAsia" w:ascii="宋体" w:hAnsi="宋体" w:cs="Times New Roman"/>
                <w:color w:val="000000"/>
                <w:szCs w:val="21"/>
                <w:lang w:val="en-US" w:eastAsia="zh-CN"/>
              </w:rPr>
              <w:t>有评审意见书，评审结果证明输入是充分适宜的，输入的信息比较完善、清楚，没有自相矛盾的问题。符合要求。评审人：刘世明。日期：2021.7.1</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设计和开发的控制</w:t>
            </w:r>
          </w:p>
        </w:tc>
        <w:tc>
          <w:tcPr>
            <w:tcW w:w="960" w:type="dxa"/>
            <w:noWrap w:val="0"/>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8.3.4</w:t>
            </w:r>
          </w:p>
        </w:tc>
        <w:tc>
          <w:tcPr>
            <w:tcW w:w="10535" w:type="dxa"/>
            <w:noWrap w:val="0"/>
            <w:vAlign w:val="top"/>
          </w:tcPr>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zh-CN" w:eastAsia="zh-CN"/>
              </w:rPr>
              <w:t>查《</w:t>
            </w:r>
            <w:r>
              <w:rPr>
                <w:rFonts w:hint="eastAsia" w:ascii="宋体" w:hAnsi="宋体" w:cs="Times New Roman"/>
                <w:color w:val="000000"/>
                <w:szCs w:val="21"/>
                <w:lang w:eastAsia="zh-CN"/>
              </w:rPr>
              <w:t>ZMCT30-AD变送器项目</w:t>
            </w:r>
            <w:r>
              <w:rPr>
                <w:rFonts w:hint="eastAsia" w:ascii="宋体" w:hAnsi="宋体" w:cs="Times New Roman"/>
                <w:color w:val="000000"/>
                <w:szCs w:val="21"/>
                <w:lang w:val="en-US" w:eastAsia="zh-CN"/>
              </w:rPr>
              <w:t>》控制</w:t>
            </w:r>
            <w:r>
              <w:rPr>
                <w:rFonts w:hint="eastAsia" w:ascii="宋体" w:hAnsi="宋体" w:cs="Times New Roman"/>
                <w:color w:val="000000"/>
                <w:szCs w:val="21"/>
                <w:lang w:val="zh-CN" w:eastAsia="zh-CN"/>
              </w:rPr>
              <w:t>资料：</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设计开发阶段：项目设计任务评审</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评审日期：2021.7.3 主持人：汪斌  评审人员：汪斌  段云  李升  杨一波  冯晟</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评审内容：合同、标准符合性</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评审结论：1、评审产品开发过程的节点设计</w:t>
            </w:r>
          </w:p>
          <w:p>
            <w:pPr>
              <w:numPr>
                <w:ilvl w:val="0"/>
                <w:numId w:val="0"/>
              </w:numPr>
              <w:spacing w:line="400" w:lineRule="exact"/>
              <w:ind w:leftChars="0" w:firstLine="1050" w:firstLineChars="5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2、明确产品相关人员的工作任务以及对工作的任务的明确度，每个节点需严格按照节点进行</w:t>
            </w:r>
          </w:p>
          <w:p>
            <w:pPr>
              <w:numPr>
                <w:ilvl w:val="0"/>
                <w:numId w:val="0"/>
              </w:numPr>
              <w:spacing w:line="400" w:lineRule="exact"/>
              <w:ind w:leftChars="0" w:firstLine="1050" w:firstLineChars="50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3、强调项目的重要性以及迫切性</w:t>
            </w:r>
          </w:p>
          <w:p>
            <w:pPr>
              <w:numPr>
                <w:ilvl w:val="0"/>
                <w:numId w:val="0"/>
              </w:numPr>
              <w:spacing w:line="400" w:lineRule="exact"/>
              <w:ind w:leftChars="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签字：汪斌  时间：2021.7.3</w:t>
            </w:r>
          </w:p>
          <w:p>
            <w:pPr>
              <w:numPr>
                <w:ilvl w:val="0"/>
                <w:numId w:val="0"/>
              </w:numPr>
              <w:spacing w:line="400" w:lineRule="exact"/>
              <w:ind w:leftChars="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改进建议：无    签字：冯晟  时间：2021.7.3</w:t>
            </w:r>
          </w:p>
          <w:p>
            <w:pPr>
              <w:numPr>
                <w:ilvl w:val="0"/>
                <w:numId w:val="0"/>
              </w:numPr>
              <w:spacing w:line="400" w:lineRule="exact"/>
              <w:ind w:leftChars="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审核意见：无    签字：冯晟  时间：2021.7.3   批准人：刘世明  时间：2021.7.3</w:t>
            </w:r>
          </w:p>
          <w:p>
            <w:pPr>
              <w:spacing w:line="400" w:lineRule="exact"/>
              <w:rPr>
                <w:rFonts w:hint="eastAsia" w:ascii="宋体" w:hAnsi="宋体" w:cs="Times New Roman"/>
                <w:color w:val="000000"/>
                <w:szCs w:val="21"/>
                <w:lang w:val="zh-CN" w:eastAsia="zh-CN"/>
              </w:rPr>
            </w:pP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zh-CN" w:eastAsia="zh-CN"/>
              </w:rPr>
              <w:t>查《</w:t>
            </w:r>
            <w:r>
              <w:rPr>
                <w:rFonts w:hint="eastAsia" w:ascii="宋体" w:hAnsi="宋体" w:cs="Times New Roman"/>
                <w:color w:val="000000"/>
                <w:szCs w:val="21"/>
                <w:lang w:eastAsia="zh-CN"/>
              </w:rPr>
              <w:t>ZMCT30-AD变送器项目</w:t>
            </w:r>
            <w:r>
              <w:rPr>
                <w:rFonts w:hint="eastAsia" w:ascii="宋体" w:hAnsi="宋体" w:cs="Times New Roman"/>
                <w:color w:val="000000"/>
                <w:szCs w:val="21"/>
                <w:lang w:val="en-US" w:eastAsia="zh-CN"/>
              </w:rPr>
              <w:t>》控制</w:t>
            </w:r>
            <w:r>
              <w:rPr>
                <w:rFonts w:hint="eastAsia" w:ascii="宋体" w:hAnsi="宋体" w:cs="Times New Roman"/>
                <w:color w:val="000000"/>
                <w:szCs w:val="21"/>
                <w:lang w:val="zh-CN" w:eastAsia="zh-CN"/>
              </w:rPr>
              <w:t>资料：</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设计开发阶段：硬件设计评审</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评审日期：2021.7.21 主持人：汪斌  评审人员：汪斌  段云  李升  杨一波  冯晟</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评审内容：采购可行性、加工可行性、结构合理性、美观性、可维修性、可检验性、安全性</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评审结论：1、评审硬件结构的合理性；对产品的美观度结合实用性进行再优化</w:t>
            </w:r>
          </w:p>
          <w:p>
            <w:pPr>
              <w:spacing w:line="400" w:lineRule="exact"/>
              <w:ind w:firstLine="1050" w:firstLineChars="50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2、评审硬件线路布局的合理性；对线路再进行优化</w:t>
            </w:r>
          </w:p>
          <w:p>
            <w:pPr>
              <w:numPr>
                <w:ilvl w:val="0"/>
                <w:numId w:val="0"/>
              </w:numPr>
              <w:spacing w:line="400" w:lineRule="exact"/>
              <w:ind w:leftChars="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签字：汪斌  时间：2021.7.21</w:t>
            </w:r>
          </w:p>
          <w:p>
            <w:pPr>
              <w:numPr>
                <w:ilvl w:val="0"/>
                <w:numId w:val="0"/>
              </w:numPr>
              <w:spacing w:line="400" w:lineRule="exact"/>
              <w:ind w:leftChars="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改进建议：按照评审意见进行修改    签字：冯晟  时间：20217.21</w:t>
            </w:r>
          </w:p>
          <w:p>
            <w:pPr>
              <w:numPr>
                <w:ilvl w:val="0"/>
                <w:numId w:val="0"/>
              </w:numPr>
              <w:spacing w:line="400" w:lineRule="exact"/>
              <w:ind w:leftChars="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审核意见：无    签字：冯晟  时间：2021.8.21   批准人：刘世明  时间：2021.7.21</w:t>
            </w:r>
          </w:p>
          <w:p>
            <w:pPr>
              <w:spacing w:line="400" w:lineRule="exact"/>
              <w:rPr>
                <w:rFonts w:hint="eastAsia" w:ascii="宋体" w:hAnsi="宋体" w:cs="Times New Roman"/>
                <w:color w:val="000000"/>
                <w:szCs w:val="21"/>
                <w:lang w:val="zh-CN" w:eastAsia="zh-CN"/>
              </w:rPr>
            </w:pP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zh-CN" w:eastAsia="zh-CN"/>
              </w:rPr>
              <w:t>查《</w:t>
            </w:r>
            <w:r>
              <w:rPr>
                <w:rFonts w:hint="eastAsia" w:ascii="宋体" w:hAnsi="宋体" w:cs="Times New Roman"/>
                <w:color w:val="000000"/>
                <w:szCs w:val="21"/>
                <w:lang w:eastAsia="zh-CN"/>
              </w:rPr>
              <w:t>ZMCT30-AD变送器项目</w:t>
            </w:r>
            <w:r>
              <w:rPr>
                <w:rFonts w:hint="eastAsia" w:ascii="宋体" w:hAnsi="宋体" w:cs="Times New Roman"/>
                <w:color w:val="000000"/>
                <w:szCs w:val="21"/>
                <w:lang w:val="en-US" w:eastAsia="zh-CN"/>
              </w:rPr>
              <w:t>》控制</w:t>
            </w:r>
            <w:r>
              <w:rPr>
                <w:rFonts w:hint="eastAsia" w:ascii="宋体" w:hAnsi="宋体" w:cs="Times New Roman"/>
                <w:color w:val="000000"/>
                <w:szCs w:val="21"/>
                <w:lang w:val="zh-CN" w:eastAsia="zh-CN"/>
              </w:rPr>
              <w:t>资料：</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设计开发阶段：软件设计评审</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评审日期：2021.8.15 主持人：汪斌  评审人员：汪斌  段云  李升  杨一波  冯晟</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评审内容：合同、标准符合性，美观性</w:t>
            </w:r>
          </w:p>
          <w:p>
            <w:pPr>
              <w:spacing w:line="400" w:lineRule="exact"/>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评审结论：1、软件开发的成果展示，寻找BUG并解决；</w:t>
            </w:r>
          </w:p>
          <w:p>
            <w:pPr>
              <w:numPr>
                <w:ilvl w:val="0"/>
                <w:numId w:val="0"/>
              </w:numPr>
              <w:spacing w:line="400" w:lineRule="exact"/>
              <w:ind w:leftChars="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展示软件界面，并对界面问题进行讨论。</w:t>
            </w:r>
          </w:p>
          <w:p>
            <w:pPr>
              <w:numPr>
                <w:ilvl w:val="0"/>
                <w:numId w:val="0"/>
              </w:numPr>
              <w:spacing w:line="400" w:lineRule="exact"/>
              <w:ind w:leftChars="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签字：汪斌  时间：2021.8.15</w:t>
            </w:r>
          </w:p>
          <w:p>
            <w:pPr>
              <w:numPr>
                <w:ilvl w:val="0"/>
                <w:numId w:val="0"/>
              </w:numPr>
              <w:spacing w:line="400" w:lineRule="exact"/>
              <w:ind w:leftChars="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改进建议：单独软件问题不好讨论，待整机调试时进行详细讨论    签字：冯晟  时间：2021.8.15</w:t>
            </w:r>
          </w:p>
          <w:p>
            <w:pPr>
              <w:numPr>
                <w:ilvl w:val="0"/>
                <w:numId w:val="0"/>
              </w:numPr>
              <w:spacing w:line="400" w:lineRule="exact"/>
              <w:ind w:leftChars="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审核意见：无    签字：冯晟  时间：2021.8.15   批准人：刘世明  时间：2021.8.15  </w:t>
            </w:r>
          </w:p>
          <w:p>
            <w:pPr>
              <w:numPr>
                <w:ilvl w:val="0"/>
                <w:numId w:val="0"/>
              </w:numPr>
              <w:spacing w:line="400" w:lineRule="exact"/>
              <w:ind w:leftChars="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 xml:space="preserve">                                                </w:t>
            </w:r>
          </w:p>
          <w:p>
            <w:pPr>
              <w:spacing w:line="400" w:lineRule="exact"/>
              <w:rPr>
                <w:rFonts w:hint="default" w:ascii="宋体" w:hAnsi="宋体" w:cs="Times New Roman"/>
                <w:color w:val="000000"/>
                <w:szCs w:val="21"/>
                <w:lang w:val="en-US" w:eastAsia="zh-CN"/>
              </w:rPr>
            </w:pPr>
            <w:r>
              <w:rPr>
                <w:rFonts w:hint="eastAsia" w:ascii="黑体" w:hAnsi="黑体" w:eastAsia="黑体" w:cs="宋体"/>
                <w:szCs w:val="21"/>
                <w:highlight w:val="none"/>
                <w:lang w:val="en-US" w:eastAsia="zh-CN"/>
              </w:rPr>
              <w:t>企业对软件和硬件产品的设计和开发有严格的控制，在各个阶段都能够做到精确把控，符合要求。</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设计和开发的输出</w:t>
            </w:r>
          </w:p>
        </w:tc>
        <w:tc>
          <w:tcPr>
            <w:tcW w:w="960" w:type="dxa"/>
            <w:noWrap w:val="0"/>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8.3.5</w:t>
            </w:r>
          </w:p>
        </w:tc>
        <w:tc>
          <w:tcPr>
            <w:tcW w:w="1053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提供有设计开发输出清单：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Times New Roman"/>
                <w:color w:val="000000"/>
                <w:szCs w:val="21"/>
              </w:rPr>
            </w:pPr>
            <w:r>
              <w:rPr>
                <w:rFonts w:hint="eastAsia" w:ascii="宋体" w:hAnsi="宋体" w:cs="Times New Roman"/>
                <w:color w:val="000000"/>
                <w:szCs w:val="21"/>
              </w:rPr>
              <w:t>设计开发输出清单（附相关资料1份）：项目投标响应文件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 New Roman"/>
                <w:color w:val="000000"/>
                <w:szCs w:val="21"/>
              </w:rPr>
            </w:pPr>
            <w:r>
              <w:rPr>
                <w:rFonts w:hint="eastAsia" w:ascii="宋体" w:hAnsi="宋体" w:cs="Times New Roman"/>
                <w:color w:val="000000"/>
                <w:szCs w:val="21"/>
                <w:lang w:val="en-US" w:eastAsia="zh-CN"/>
              </w:rPr>
              <w:t>1、</w:t>
            </w:r>
            <w:r>
              <w:rPr>
                <w:rFonts w:hint="eastAsia" w:ascii="宋体" w:hAnsi="宋体" w:cs="Times New Roman"/>
                <w:color w:val="000000"/>
                <w:szCs w:val="21"/>
              </w:rPr>
              <w:t>系统设计</w:t>
            </w:r>
          </w:p>
          <w:p>
            <w:pPr>
              <w:spacing w:line="400" w:lineRule="exact"/>
              <w:rPr>
                <w:rFonts w:hint="eastAsia" w:ascii="宋体" w:hAnsi="宋体" w:cs="Times New Roman"/>
                <w:color w:val="000000"/>
                <w:szCs w:val="21"/>
              </w:rPr>
            </w:pPr>
            <w:r>
              <w:drawing>
                <wp:anchor distT="0" distB="0" distL="114300" distR="114300" simplePos="0" relativeHeight="251661312" behindDoc="0" locked="0" layoutInCell="1" allowOverlap="1">
                  <wp:simplePos x="0" y="0"/>
                  <wp:positionH relativeFrom="column">
                    <wp:posOffset>106680</wp:posOffset>
                  </wp:positionH>
                  <wp:positionV relativeFrom="paragraph">
                    <wp:posOffset>170180</wp:posOffset>
                  </wp:positionV>
                  <wp:extent cx="5149850" cy="3263900"/>
                  <wp:effectExtent l="0" t="0" r="6350" b="0"/>
                  <wp:wrapNone/>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6"/>
                          <a:stretch>
                            <a:fillRect/>
                          </a:stretch>
                        </pic:blipFill>
                        <pic:spPr>
                          <a:xfrm>
                            <a:off x="0" y="0"/>
                            <a:ext cx="5149850" cy="3263900"/>
                          </a:xfrm>
                          <a:prstGeom prst="rect">
                            <a:avLst/>
                          </a:prstGeom>
                          <a:noFill/>
                          <a:ln>
                            <a:noFill/>
                          </a:ln>
                        </pic:spPr>
                      </pic:pic>
                    </a:graphicData>
                  </a:graphic>
                </wp:anchor>
              </w:drawing>
            </w:r>
            <w:r>
              <w:drawing>
                <wp:inline distT="0" distB="0" distL="114300" distR="114300">
                  <wp:extent cx="0" cy="0"/>
                  <wp:effectExtent l="0" t="0" r="0" b="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6"/>
                          <a:stretch>
                            <a:fillRect/>
                          </a:stretch>
                        </pic:blipFill>
                        <pic:spPr>
                          <a:xfrm>
                            <a:off x="0" y="0"/>
                            <a:ext cx="0" cy="0"/>
                          </a:xfrm>
                          <a:prstGeom prst="rect">
                            <a:avLst/>
                          </a:prstGeom>
                          <a:noFill/>
                          <a:ln>
                            <a:noFill/>
                          </a:ln>
                        </pic:spPr>
                      </pic:pic>
                    </a:graphicData>
                  </a:graphic>
                </wp:inline>
              </w:drawing>
            </w:r>
          </w:p>
          <w:p>
            <w:pPr>
              <w:spacing w:line="400" w:lineRule="exact"/>
              <w:rPr>
                <w:rFonts w:hint="eastAsia" w:ascii="宋体" w:hAnsi="宋体" w:cs="Times New Roman"/>
                <w:color w:val="000000"/>
                <w:szCs w:val="21"/>
              </w:rPr>
            </w:pPr>
          </w:p>
          <w:p>
            <w:pPr>
              <w:spacing w:line="400" w:lineRule="exact"/>
              <w:rPr>
                <w:rFonts w:hint="eastAsia" w:ascii="宋体" w:hAnsi="宋体" w:cs="Times New Roman"/>
                <w:color w:val="000000"/>
                <w:szCs w:val="21"/>
              </w:rPr>
            </w:pPr>
          </w:p>
          <w:p>
            <w:pPr>
              <w:spacing w:line="400" w:lineRule="exact"/>
              <w:rPr>
                <w:rFonts w:hint="eastAsia" w:ascii="宋体" w:hAnsi="宋体" w:cs="Times New Roman"/>
                <w:color w:val="000000"/>
                <w:szCs w:val="21"/>
              </w:rPr>
            </w:pPr>
          </w:p>
          <w:p>
            <w:pPr>
              <w:spacing w:line="400" w:lineRule="exact"/>
              <w:rPr>
                <w:rFonts w:hint="eastAsia" w:ascii="宋体" w:hAnsi="宋体" w:cs="Times New Roman"/>
                <w:color w:val="000000"/>
                <w:szCs w:val="21"/>
              </w:rPr>
            </w:pPr>
          </w:p>
          <w:p>
            <w:pPr>
              <w:spacing w:line="400" w:lineRule="exact"/>
              <w:rPr>
                <w:rFonts w:hint="eastAsia" w:ascii="宋体" w:hAnsi="宋体" w:cs="Times New Roman"/>
                <w:color w:val="000000"/>
                <w:szCs w:val="21"/>
              </w:rPr>
            </w:pPr>
          </w:p>
          <w:p>
            <w:pPr>
              <w:spacing w:line="400" w:lineRule="exact"/>
              <w:rPr>
                <w:rFonts w:hint="eastAsia" w:ascii="宋体" w:hAnsi="宋体" w:cs="Times New Roman"/>
                <w:color w:val="000000"/>
                <w:szCs w:val="21"/>
              </w:rPr>
            </w:pPr>
          </w:p>
          <w:p>
            <w:pPr>
              <w:spacing w:line="400" w:lineRule="exact"/>
              <w:rPr>
                <w:rFonts w:hint="eastAsia" w:ascii="宋体" w:hAnsi="宋体" w:cs="Times New Roman"/>
                <w:color w:val="000000"/>
                <w:szCs w:val="21"/>
              </w:rPr>
            </w:pPr>
          </w:p>
          <w:p>
            <w:pPr>
              <w:spacing w:line="400" w:lineRule="exact"/>
              <w:rPr>
                <w:rFonts w:hint="eastAsia" w:ascii="宋体" w:hAnsi="宋体" w:cs="Times New Roman"/>
                <w:color w:val="000000"/>
                <w:szCs w:val="21"/>
              </w:rPr>
            </w:pPr>
          </w:p>
          <w:p>
            <w:pPr>
              <w:spacing w:line="400" w:lineRule="exact"/>
              <w:rPr>
                <w:rFonts w:hint="eastAsia" w:ascii="宋体" w:hAnsi="宋体" w:cs="Times New Roman"/>
                <w:color w:val="000000"/>
                <w:szCs w:val="21"/>
              </w:rPr>
            </w:pPr>
          </w:p>
          <w:p>
            <w:pPr>
              <w:spacing w:line="400" w:lineRule="exact"/>
              <w:rPr>
                <w:rFonts w:hint="eastAsia" w:ascii="宋体" w:hAnsi="宋体" w:cs="Times New Roman"/>
                <w:color w:val="000000"/>
                <w:szCs w:val="21"/>
              </w:rPr>
            </w:pPr>
          </w:p>
          <w:p>
            <w:pPr>
              <w:spacing w:line="400" w:lineRule="exact"/>
              <w:rPr>
                <w:rFonts w:hint="eastAsia" w:ascii="宋体" w:hAnsi="宋体" w:cs="Times New Roman"/>
                <w:color w:val="000000"/>
                <w:szCs w:val="21"/>
              </w:rPr>
            </w:pPr>
          </w:p>
          <w:p>
            <w:pPr>
              <w:spacing w:line="400" w:lineRule="exact"/>
              <w:rPr>
                <w:rFonts w:hint="eastAsia" w:ascii="宋体" w:hAnsi="宋体" w:cs="Times New Roman"/>
                <w:color w:val="000000"/>
                <w:szCs w:val="21"/>
              </w:rPr>
            </w:pPr>
          </w:p>
          <w:p>
            <w:pPr>
              <w:spacing w:line="400" w:lineRule="exact"/>
              <w:rPr>
                <w:rFonts w:hint="eastAsia" w:ascii="宋体" w:hAnsi="宋体" w:cs="Times New Roman"/>
                <w:color w:val="000000"/>
                <w:szCs w:val="21"/>
              </w:rPr>
            </w:pPr>
          </w:p>
          <w:p>
            <w:pPr>
              <w:spacing w:line="400" w:lineRule="exact"/>
              <w:rPr>
                <w:rFonts w:hint="eastAsia" w:ascii="宋体" w:hAnsi="宋体" w:cs="Times New Roman"/>
                <w:color w:val="000000"/>
                <w:szCs w:val="21"/>
              </w:rPr>
            </w:pPr>
            <w:r>
              <w:rPr>
                <w:rFonts w:hint="eastAsia" w:ascii="宋体" w:hAnsi="宋体" w:cs="Times New Roman"/>
                <w:color w:val="000000"/>
                <w:szCs w:val="21"/>
              </w:rPr>
              <w:t>a)</w:t>
            </w:r>
            <w:r>
              <w:rPr>
                <w:rFonts w:hint="eastAsia" w:ascii="宋体" w:hAnsi="宋体" w:cs="Times New Roman"/>
                <w:color w:val="000000"/>
                <w:szCs w:val="21"/>
              </w:rPr>
              <w:tab/>
            </w:r>
            <w:r>
              <w:rPr>
                <w:rFonts w:hint="eastAsia" w:ascii="宋体" w:hAnsi="宋体" w:cs="Times New Roman"/>
                <w:color w:val="000000"/>
                <w:szCs w:val="21"/>
              </w:rPr>
              <w:t>基础设施层，为基础网络和承载软件运行的计算机硬件基础设施；</w:t>
            </w:r>
          </w:p>
          <w:p>
            <w:pPr>
              <w:spacing w:line="400" w:lineRule="exact"/>
              <w:rPr>
                <w:rFonts w:hint="eastAsia" w:ascii="宋体" w:hAnsi="宋体" w:cs="Times New Roman"/>
                <w:color w:val="000000"/>
                <w:szCs w:val="21"/>
              </w:rPr>
            </w:pPr>
            <w:r>
              <w:rPr>
                <w:rFonts w:hint="eastAsia" w:ascii="宋体" w:hAnsi="宋体" w:cs="Times New Roman"/>
                <w:color w:val="000000"/>
                <w:szCs w:val="21"/>
              </w:rPr>
              <w:t>b)</w:t>
            </w:r>
            <w:r>
              <w:rPr>
                <w:rFonts w:hint="eastAsia" w:ascii="宋体" w:hAnsi="宋体" w:cs="Times New Roman"/>
                <w:color w:val="000000"/>
                <w:szCs w:val="21"/>
              </w:rPr>
              <w:tab/>
            </w:r>
            <w:r>
              <w:rPr>
                <w:rFonts w:hint="eastAsia" w:ascii="宋体" w:hAnsi="宋体" w:cs="Times New Roman"/>
                <w:color w:val="000000"/>
                <w:szCs w:val="21"/>
              </w:rPr>
              <w:t>平台层，可简单的理解为操作系统。但在实际企业现有复杂的设备结构中，具体平台根据企业规模的不同和虚拟化技术的应用复杂度是呈比例提高的，在这里我们大致分为windows系列和linux系列两种平台。</w:t>
            </w:r>
          </w:p>
          <w:p>
            <w:pPr>
              <w:spacing w:line="400" w:lineRule="exact"/>
              <w:rPr>
                <w:rFonts w:hint="eastAsia" w:ascii="宋体" w:hAnsi="宋体" w:cs="Times New Roman"/>
                <w:color w:val="000000"/>
                <w:szCs w:val="21"/>
              </w:rPr>
            </w:pPr>
            <w:r>
              <w:rPr>
                <w:rFonts w:hint="eastAsia" w:ascii="宋体" w:hAnsi="宋体" w:cs="Times New Roman"/>
                <w:color w:val="000000"/>
                <w:szCs w:val="21"/>
              </w:rPr>
              <w:t>c)</w:t>
            </w:r>
            <w:r>
              <w:rPr>
                <w:rFonts w:hint="eastAsia" w:ascii="宋体" w:hAnsi="宋体" w:cs="Times New Roman"/>
                <w:color w:val="000000"/>
                <w:szCs w:val="21"/>
              </w:rPr>
              <w:tab/>
            </w:r>
            <w:r>
              <w:rPr>
                <w:rFonts w:hint="eastAsia" w:ascii="宋体" w:hAnsi="宋体" w:cs="Times New Roman"/>
                <w:color w:val="000000"/>
                <w:szCs w:val="21"/>
              </w:rPr>
              <w:t>资源层，前面提到平台的复杂性，为消除这种复杂性带来的差异，资源池建立统一接口的物理基础设施资源和虚拟化资源池，达到统一通讯接口、平衡计算资源和满足系统持久化数据的需求，如持久用户文件，持久业务数据或子系统灾备迁移。</w:t>
            </w:r>
          </w:p>
          <w:p>
            <w:pPr>
              <w:spacing w:line="400" w:lineRule="exact"/>
              <w:rPr>
                <w:rFonts w:hint="eastAsia" w:ascii="宋体" w:hAnsi="宋体" w:cs="Times New Roman"/>
                <w:color w:val="000000"/>
                <w:szCs w:val="21"/>
              </w:rPr>
            </w:pPr>
            <w:r>
              <w:rPr>
                <w:rFonts w:hint="eastAsia" w:ascii="宋体" w:hAnsi="宋体" w:cs="Times New Roman"/>
                <w:color w:val="000000"/>
                <w:szCs w:val="21"/>
              </w:rPr>
              <w:t>d)</w:t>
            </w:r>
            <w:r>
              <w:rPr>
                <w:rFonts w:hint="eastAsia" w:ascii="宋体" w:hAnsi="宋体" w:cs="Times New Roman"/>
                <w:color w:val="000000"/>
                <w:szCs w:val="21"/>
              </w:rPr>
              <w:tab/>
            </w:r>
            <w:r>
              <w:rPr>
                <w:rFonts w:hint="eastAsia" w:ascii="宋体" w:hAnsi="宋体" w:cs="Times New Roman"/>
                <w:color w:val="000000"/>
                <w:szCs w:val="21"/>
              </w:rPr>
              <w:t>支撑层，为了保持系统的完备性，降低系统的复杂度，支撑层可以简单的理解为对资源层的二次封装。支撑层的设计目的是为业务系统提供公共功能的支持，如日志管理，权限管理和会话管理等等，完成实体基本的插入、更新、获取等等操作。</w:t>
            </w:r>
          </w:p>
          <w:p>
            <w:pPr>
              <w:spacing w:line="400" w:lineRule="exact"/>
              <w:rPr>
                <w:rFonts w:hint="eastAsia" w:ascii="宋体" w:hAnsi="宋体" w:cs="Times New Roman"/>
                <w:color w:val="000000"/>
                <w:szCs w:val="21"/>
              </w:rPr>
            </w:pPr>
            <w:r>
              <w:rPr>
                <w:rFonts w:hint="eastAsia" w:ascii="宋体" w:hAnsi="宋体" w:cs="Times New Roman"/>
                <w:color w:val="000000"/>
                <w:szCs w:val="21"/>
              </w:rPr>
              <w:t>e)</w:t>
            </w:r>
            <w:r>
              <w:rPr>
                <w:rFonts w:hint="eastAsia" w:ascii="宋体" w:hAnsi="宋体" w:cs="Times New Roman"/>
                <w:color w:val="000000"/>
                <w:szCs w:val="21"/>
              </w:rPr>
              <w:tab/>
            </w:r>
            <w:r>
              <w:rPr>
                <w:rFonts w:hint="eastAsia" w:ascii="宋体" w:hAnsi="宋体" w:cs="Times New Roman"/>
                <w:color w:val="000000"/>
                <w:szCs w:val="21"/>
              </w:rPr>
              <w:t>应用层，按照特定的业务逻辑处理各种数据，完成业务需要。比如，社区的公告的发布，修改，删除等。</w:t>
            </w:r>
          </w:p>
          <w:p>
            <w:pPr>
              <w:spacing w:line="400" w:lineRule="exact"/>
              <w:rPr>
                <w:rFonts w:hint="eastAsia" w:ascii="宋体" w:hAnsi="宋体" w:cs="Times New Roman"/>
                <w:color w:val="000000"/>
                <w:szCs w:val="21"/>
              </w:rPr>
            </w:pPr>
            <w:r>
              <w:rPr>
                <w:rFonts w:hint="eastAsia" w:ascii="宋体" w:hAnsi="宋体" w:cs="Times New Roman"/>
                <w:color w:val="000000"/>
                <w:szCs w:val="21"/>
              </w:rPr>
              <w:t>f)</w:t>
            </w:r>
            <w:r>
              <w:rPr>
                <w:rFonts w:hint="eastAsia" w:ascii="宋体" w:hAnsi="宋体" w:cs="Times New Roman"/>
                <w:color w:val="000000"/>
                <w:szCs w:val="21"/>
              </w:rPr>
              <w:tab/>
            </w:r>
            <w:r>
              <w:rPr>
                <w:rFonts w:hint="eastAsia" w:ascii="宋体" w:hAnsi="宋体" w:cs="Times New Roman"/>
                <w:color w:val="000000"/>
                <w:szCs w:val="21"/>
              </w:rPr>
              <w:t>服务层，服务层仅起协调应用层与展现层通讯的作用，本身不应该包含有任何业务逻辑。它只负责定义各种接口规则，将应用层和支撑层的能力暴露为服务。</w:t>
            </w:r>
          </w:p>
          <w:p>
            <w:pPr>
              <w:spacing w:line="400" w:lineRule="exact"/>
              <w:rPr>
                <w:rFonts w:hint="eastAsia" w:ascii="宋体" w:hAnsi="宋体" w:cs="Times New Roman"/>
                <w:color w:val="000000"/>
                <w:szCs w:val="21"/>
              </w:rPr>
            </w:pPr>
            <w:r>
              <w:rPr>
                <w:rFonts w:hint="eastAsia" w:ascii="宋体" w:hAnsi="宋体" w:cs="Times New Roman"/>
                <w:color w:val="000000"/>
                <w:szCs w:val="21"/>
              </w:rPr>
              <w:t>g)</w:t>
            </w:r>
            <w:r>
              <w:rPr>
                <w:rFonts w:hint="eastAsia" w:ascii="宋体" w:hAnsi="宋体" w:cs="Times New Roman"/>
                <w:color w:val="000000"/>
                <w:szCs w:val="21"/>
              </w:rPr>
              <w:tab/>
            </w:r>
            <w:r>
              <w:rPr>
                <w:rFonts w:hint="eastAsia" w:ascii="宋体" w:hAnsi="宋体" w:cs="Times New Roman"/>
                <w:color w:val="000000"/>
                <w:szCs w:val="21"/>
              </w:rPr>
              <w:t>展现层，不需要了解应用层或者支撑层中的逻辑关系，只需要根据服务层暴露出来的服务接口，根据不同的需求，要求终端用户输入指令和数据，通过服务层转发给应用层或者支撑层，然后展现返回数据。也就是说用户要求修改密码或者添加订单的操作，对展现层来说这两种操作是同一样的东西，那就是返回数据。</w:t>
            </w:r>
          </w:p>
          <w:p>
            <w:pPr>
              <w:spacing w:line="400" w:lineRule="exact"/>
              <w:rPr>
                <w:rFonts w:hint="eastAsia" w:ascii="宋体" w:hAnsi="宋体" w:cs="Times New Roman"/>
                <w:color w:val="000000"/>
                <w:szCs w:val="21"/>
              </w:rPr>
            </w:pPr>
            <w:r>
              <w:rPr>
                <w:rFonts w:hint="eastAsia" w:ascii="宋体" w:hAnsi="宋体" w:cs="Times New Roman"/>
                <w:color w:val="000000"/>
                <w:szCs w:val="21"/>
                <w:lang w:val="en-US" w:eastAsia="zh-CN"/>
              </w:rPr>
              <w:t>2、</w:t>
            </w:r>
            <w:r>
              <w:rPr>
                <w:rFonts w:hint="eastAsia" w:ascii="宋体" w:hAnsi="宋体" w:cs="Times New Roman"/>
                <w:color w:val="000000"/>
                <w:szCs w:val="21"/>
              </w:rPr>
              <w:t>引用验收准则，标准件，外协、外购件清单，质量重要度分级明细表及采购物资分类明细</w:t>
            </w:r>
          </w:p>
          <w:p>
            <w:pPr>
              <w:spacing w:line="400" w:lineRule="exact"/>
              <w:rPr>
                <w:rFonts w:hint="eastAsia" w:ascii="宋体" w:hAnsi="宋体" w:cs="Times New Roman"/>
                <w:color w:val="000000"/>
                <w:szCs w:val="21"/>
              </w:rPr>
            </w:pPr>
            <w:r>
              <w:rPr>
                <w:rFonts w:hint="eastAsia" w:ascii="宋体" w:hAnsi="宋体" w:cs="Times New Roman"/>
                <w:color w:val="000000"/>
                <w:szCs w:val="21"/>
              </w:rPr>
              <w:t>引用验收准则</w:t>
            </w:r>
          </w:p>
          <w:p>
            <w:pPr>
              <w:spacing w:line="400" w:lineRule="exact"/>
              <w:rPr>
                <w:rFonts w:hint="eastAsia" w:ascii="宋体" w:hAnsi="宋体" w:cs="Times New Roman"/>
                <w:color w:val="000000"/>
                <w:szCs w:val="21"/>
              </w:rPr>
            </w:pPr>
            <w:r>
              <w:rPr>
                <w:rFonts w:hint="eastAsia" w:ascii="宋体" w:hAnsi="宋体" w:cs="Times New Roman"/>
                <w:color w:val="000000"/>
                <w:szCs w:val="21"/>
              </w:rPr>
              <w:t>本项目由采购人组织验收，验收及相关费用由我司负责。</w:t>
            </w:r>
          </w:p>
          <w:p>
            <w:pPr>
              <w:spacing w:line="400" w:lineRule="exact"/>
              <w:rPr>
                <w:rFonts w:hint="eastAsia" w:ascii="宋体" w:hAnsi="宋体" w:cs="Times New Roman"/>
                <w:color w:val="000000"/>
                <w:szCs w:val="21"/>
              </w:rPr>
            </w:pPr>
            <w:r>
              <w:rPr>
                <w:rFonts w:hint="eastAsia" w:ascii="宋体" w:hAnsi="宋体" w:cs="Times New Roman"/>
                <w:color w:val="000000"/>
                <w:szCs w:val="21"/>
              </w:rPr>
              <w:t>功能：完全依照项目招标文件功能要求验收；</w:t>
            </w:r>
          </w:p>
          <w:p>
            <w:pPr>
              <w:spacing w:line="400" w:lineRule="exact"/>
              <w:rPr>
                <w:rFonts w:hint="eastAsia" w:ascii="宋体" w:hAnsi="宋体" w:cs="Times New Roman"/>
                <w:color w:val="000000"/>
                <w:szCs w:val="21"/>
              </w:rPr>
            </w:pPr>
            <w:r>
              <w:rPr>
                <w:rFonts w:hint="eastAsia" w:ascii="宋体" w:hAnsi="宋体" w:cs="Times New Roman"/>
                <w:color w:val="000000"/>
                <w:szCs w:val="21"/>
              </w:rPr>
              <w:t>性能：完全依照项目招标文件性能要求验收</w:t>
            </w:r>
          </w:p>
          <w:p>
            <w:pPr>
              <w:spacing w:line="400" w:lineRule="exact"/>
              <w:rPr>
                <w:rFonts w:hint="eastAsia" w:ascii="宋体" w:hAnsi="宋体" w:cs="Times New Roman"/>
                <w:color w:val="000000"/>
                <w:szCs w:val="21"/>
              </w:rPr>
            </w:pPr>
            <w:r>
              <w:rPr>
                <w:rFonts w:hint="eastAsia" w:ascii="宋体" w:hAnsi="宋体" w:cs="Times New Roman"/>
                <w:color w:val="000000"/>
                <w:szCs w:val="21"/>
              </w:rPr>
              <w:t>可靠性：3天不间断运行，无故障。</w:t>
            </w:r>
          </w:p>
          <w:p>
            <w:pPr>
              <w:spacing w:line="400" w:lineRule="exact"/>
              <w:rPr>
                <w:rFonts w:hint="eastAsia" w:ascii="宋体" w:hAnsi="宋体" w:cs="Times New Roman"/>
                <w:color w:val="000000"/>
                <w:szCs w:val="21"/>
              </w:rPr>
            </w:pPr>
            <w:r>
              <w:rPr>
                <w:rFonts w:hint="eastAsia" w:ascii="宋体" w:hAnsi="宋体" w:cs="Times New Roman"/>
                <w:color w:val="000000"/>
                <w:szCs w:val="21"/>
              </w:rPr>
              <w:t>安全性：完全依照项目招标文件功能要求验收</w:t>
            </w:r>
          </w:p>
          <w:p>
            <w:pPr>
              <w:spacing w:line="400" w:lineRule="exact"/>
              <w:rPr>
                <w:rFonts w:hint="eastAsia" w:ascii="宋体" w:hAnsi="宋体" w:cs="Times New Roman"/>
                <w:color w:val="000000"/>
                <w:szCs w:val="21"/>
              </w:rPr>
            </w:pPr>
            <w:r>
              <w:rPr>
                <w:rFonts w:hint="eastAsia" w:ascii="宋体" w:hAnsi="宋体" w:cs="Times New Roman"/>
                <w:color w:val="000000"/>
                <w:szCs w:val="21"/>
              </w:rPr>
              <w:t>标准件，外协、外购件清单：无</w:t>
            </w:r>
          </w:p>
          <w:p>
            <w:pPr>
              <w:spacing w:line="400" w:lineRule="exact"/>
              <w:rPr>
                <w:rFonts w:hint="eastAsia" w:ascii="宋体" w:hAnsi="宋体" w:cs="Times New Roman"/>
                <w:color w:val="000000"/>
                <w:szCs w:val="21"/>
              </w:rPr>
            </w:pPr>
            <w:r>
              <w:rPr>
                <w:rFonts w:hint="eastAsia" w:ascii="宋体" w:hAnsi="宋体" w:cs="Times New Roman"/>
                <w:color w:val="000000"/>
                <w:szCs w:val="21"/>
              </w:rPr>
              <w:t>质量重要度分级明细表</w:t>
            </w:r>
          </w:p>
          <w:p>
            <w:pPr>
              <w:spacing w:line="400" w:lineRule="exact"/>
              <w:rPr>
                <w:rFonts w:hint="eastAsia" w:ascii="宋体" w:hAnsi="宋体" w:cs="Times New Roman"/>
                <w:color w:val="000000"/>
                <w:szCs w:val="21"/>
              </w:rPr>
            </w:pPr>
            <w:r>
              <w:rPr>
                <w:rFonts w:hint="eastAsia" w:ascii="宋体" w:hAnsi="宋体" w:cs="Times New Roman"/>
                <w:color w:val="000000"/>
                <w:szCs w:val="21"/>
              </w:rPr>
              <w:t>本项目各模块质量重要程度一致，不进行分级。</w:t>
            </w:r>
          </w:p>
          <w:p>
            <w:pPr>
              <w:spacing w:line="400" w:lineRule="exact"/>
              <w:rPr>
                <w:rFonts w:hint="eastAsia" w:ascii="宋体" w:hAnsi="宋体" w:cs="Times New Roman"/>
                <w:color w:val="000000"/>
                <w:szCs w:val="21"/>
              </w:rPr>
            </w:pPr>
            <w:r>
              <w:rPr>
                <w:rFonts w:hint="eastAsia" w:ascii="宋体" w:hAnsi="宋体" w:cs="Times New Roman"/>
                <w:color w:val="000000"/>
                <w:szCs w:val="21"/>
              </w:rPr>
              <w:t>采购物资分类明细：无</w:t>
            </w:r>
          </w:p>
          <w:p>
            <w:pPr>
              <w:spacing w:line="400" w:lineRule="exact"/>
              <w:rPr>
                <w:rFonts w:hint="eastAsia" w:ascii="宋体" w:hAnsi="宋体" w:cs="Times New Roman"/>
                <w:color w:val="000000"/>
                <w:szCs w:val="21"/>
              </w:rPr>
            </w:pPr>
            <w:r>
              <w:rPr>
                <w:rFonts w:hint="eastAsia" w:ascii="宋体" w:hAnsi="宋体" w:cs="Times New Roman"/>
                <w:color w:val="000000"/>
                <w:szCs w:val="21"/>
                <w:lang w:val="en-US" w:eastAsia="zh-CN"/>
              </w:rPr>
              <w:t>3、</w:t>
            </w:r>
            <w:r>
              <w:rPr>
                <w:rFonts w:hint="eastAsia" w:ascii="宋体" w:hAnsi="宋体" w:cs="Times New Roman"/>
                <w:color w:val="000000"/>
                <w:szCs w:val="21"/>
              </w:rPr>
              <w:t>产品应用的技术规范或企业标准等</w:t>
            </w:r>
          </w:p>
          <w:p>
            <w:pPr>
              <w:spacing w:line="400" w:lineRule="exact"/>
              <w:rPr>
                <w:rFonts w:hint="eastAsia" w:ascii="宋体" w:hAnsi="宋体" w:cs="Times New Roman"/>
                <w:color w:val="000000"/>
                <w:szCs w:val="21"/>
              </w:rPr>
            </w:pP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1</w:t>
            </w:r>
            <w:r>
              <w:rPr>
                <w:rFonts w:hint="eastAsia" w:ascii="宋体" w:hAnsi="宋体" w:cs="Times New Roman"/>
                <w:color w:val="000000"/>
                <w:szCs w:val="21"/>
                <w:lang w:eastAsia="zh-CN"/>
              </w:rPr>
              <w:t>）</w:t>
            </w:r>
            <w:r>
              <w:rPr>
                <w:rFonts w:hint="eastAsia" w:ascii="宋体" w:hAnsi="宋体" w:cs="Times New Roman"/>
                <w:color w:val="000000"/>
                <w:szCs w:val="21"/>
              </w:rPr>
              <w:t>系统开发中将按照我国现行的电子、网络通讯、计算机和行业应用相关国标标准、规范执行，当两者有矛盾时，按较高标准执行。同时按照有关安全、保密及其它方面现行的国家强制性标准和规程（规定）执行。具体遵循的标准涉及信息安全、开发流程、文档编制等方面，业务层面将遵循国家地区标准代码、高校专业标准代码等；同时将遵循学校的相关规范与标准，如院系划分、学校区域划分、部门划分、职务岗位划分标准等。</w:t>
            </w:r>
          </w:p>
          <w:p>
            <w:pPr>
              <w:spacing w:line="400" w:lineRule="exact"/>
              <w:rPr>
                <w:rFonts w:hint="eastAsia" w:ascii="宋体" w:hAnsi="宋体" w:cs="Times New Roman"/>
                <w:color w:val="000000"/>
                <w:szCs w:val="21"/>
              </w:rPr>
            </w:pP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2</w:t>
            </w:r>
            <w:r>
              <w:rPr>
                <w:rFonts w:hint="eastAsia" w:ascii="宋体" w:hAnsi="宋体" w:cs="Times New Roman"/>
                <w:color w:val="000000"/>
                <w:szCs w:val="21"/>
                <w:lang w:eastAsia="zh-CN"/>
              </w:rPr>
              <w:t>）</w:t>
            </w:r>
            <w:r>
              <w:rPr>
                <w:rFonts w:hint="eastAsia" w:ascii="宋体" w:hAnsi="宋体" w:cs="Times New Roman"/>
                <w:color w:val="000000"/>
                <w:szCs w:val="21"/>
              </w:rPr>
              <w:t>安全性方面，严格执行软件系统结构安全、访问控制、安全审计、入侵防范、漏洞扫描、应用安全措施、通信加密、数据安全等各方面的安全技术规范或标准，包括ISO／IEC27001：2005《信息安全管理体系要求》等。</w:t>
            </w:r>
          </w:p>
          <w:p>
            <w:pPr>
              <w:spacing w:line="400" w:lineRule="exact"/>
              <w:rPr>
                <w:rFonts w:hint="eastAsia" w:ascii="宋体" w:hAnsi="宋体" w:cs="Times New Roman"/>
                <w:color w:val="000000"/>
                <w:szCs w:val="21"/>
              </w:rPr>
            </w:pPr>
            <w:r>
              <w:rPr>
                <w:rFonts w:hint="eastAsia" w:ascii="宋体" w:hAnsi="宋体" w:cs="Times New Roman"/>
                <w:color w:val="000000"/>
                <w:szCs w:val="21"/>
                <w:lang w:eastAsia="zh-CN"/>
              </w:rPr>
              <w:t>（</w:t>
            </w:r>
            <w:r>
              <w:rPr>
                <w:rFonts w:hint="eastAsia" w:ascii="宋体" w:hAnsi="宋体" w:cs="Times New Roman"/>
                <w:color w:val="000000"/>
                <w:szCs w:val="21"/>
                <w:lang w:val="en-US" w:eastAsia="zh-CN"/>
              </w:rPr>
              <w:t>3</w:t>
            </w:r>
            <w:r>
              <w:rPr>
                <w:rFonts w:hint="eastAsia" w:ascii="宋体" w:hAnsi="宋体" w:cs="Times New Roman"/>
                <w:color w:val="000000"/>
                <w:szCs w:val="21"/>
                <w:lang w:eastAsia="zh-CN"/>
              </w:rPr>
              <w:t>）</w:t>
            </w:r>
            <w:r>
              <w:rPr>
                <w:rFonts w:hint="eastAsia" w:ascii="宋体" w:hAnsi="宋体" w:cs="Times New Roman"/>
                <w:color w:val="000000"/>
                <w:szCs w:val="21"/>
              </w:rPr>
              <w:t>技术规范：系统设计架构为SOA，</w:t>
            </w:r>
            <w:r>
              <w:rPr>
                <w:rFonts w:hint="eastAsia" w:ascii="宋体" w:hAnsi="宋体" w:cs="Times New Roman"/>
                <w:color w:val="000000"/>
                <w:szCs w:val="21"/>
              </w:rPr>
              <w:tab/>
            </w:r>
            <w:r>
              <w:rPr>
                <w:rFonts w:hint="eastAsia" w:ascii="宋体" w:hAnsi="宋体" w:cs="Times New Roman"/>
                <w:color w:val="000000"/>
                <w:szCs w:val="21"/>
              </w:rPr>
              <w:t>MVC模式，前端主要开发框架AngularJS，权限管理采用RBAC权限控制体系。</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spacing w:line="360" w:lineRule="auto"/>
              <w:rPr>
                <w:rFonts w:hint="eastAsia" w:ascii="宋体" w:hAnsi="宋体"/>
                <w:szCs w:val="21"/>
                <w:highlight w:val="none"/>
              </w:rPr>
            </w:pPr>
            <w:r>
              <w:rPr>
                <w:rFonts w:hint="eastAsia" w:ascii="黑体" w:hAnsi="黑体" w:eastAsia="黑体" w:cs="宋体"/>
                <w:szCs w:val="21"/>
                <w:highlight w:val="none"/>
                <w:lang w:val="en-US" w:eastAsia="zh-CN"/>
              </w:rPr>
              <w:t>设计和开发的更改</w:t>
            </w:r>
          </w:p>
        </w:tc>
        <w:tc>
          <w:tcPr>
            <w:tcW w:w="960" w:type="dxa"/>
            <w:noWrap w:val="0"/>
            <w:vAlign w:val="top"/>
          </w:tcPr>
          <w:p>
            <w:pPr>
              <w:spacing w:line="360" w:lineRule="auto"/>
              <w:rPr>
                <w:rFonts w:hint="eastAsia" w:ascii="宋体" w:hAnsi="宋体" w:cs="宋体"/>
                <w:b/>
                <w:szCs w:val="21"/>
                <w:highlight w:val="none"/>
              </w:rPr>
            </w:pPr>
            <w:r>
              <w:rPr>
                <w:rFonts w:hint="eastAsia" w:ascii="黑体" w:hAnsi="黑体" w:eastAsia="黑体" w:cs="宋体"/>
                <w:szCs w:val="21"/>
                <w:highlight w:val="none"/>
                <w:lang w:val="en-US" w:eastAsia="zh-CN"/>
              </w:rPr>
              <w:t>8.3.6</w:t>
            </w:r>
          </w:p>
        </w:tc>
        <w:tc>
          <w:tcPr>
            <w:tcW w:w="10535" w:type="dxa"/>
            <w:noWrap w:val="0"/>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查，公司的规定了设计开发的更改控制，更改后必须进行确认评审。</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本次设计在新产品鉴定报告评审中提出了变更（1）系统界面字体更改（2）部分功能菜单图标修改为文字的结论。鉴定主持人：汪斌，鉴定时间：2021.10.20</w:t>
            </w:r>
          </w:p>
          <w:p>
            <w:p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改进验证结果：产品定型，可以量产  签字：刘世明  日期：2021.10.21</w:t>
            </w:r>
          </w:p>
          <w:p>
            <w:pPr>
              <w:spacing w:line="400" w:lineRule="exact"/>
              <w:rPr>
                <w:rFonts w:hint="eastAsia" w:ascii="宋体" w:hAnsi="宋体" w:cs="Times New Roman"/>
                <w:color w:val="000000"/>
                <w:szCs w:val="21"/>
                <w:highlight w:val="yellow"/>
              </w:rPr>
            </w:pPr>
            <w:r>
              <w:rPr>
                <w:rFonts w:hint="eastAsia" w:ascii="宋体" w:hAnsi="宋体" w:cs="Times New Roman"/>
                <w:color w:val="000000"/>
                <w:szCs w:val="21"/>
                <w:highlight w:val="none"/>
                <w:lang w:val="en-US" w:eastAsia="zh-CN"/>
              </w:rPr>
              <w:t>设计开发过程基本受控。</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adjustRightInd w:val="0"/>
              <w:snapToGrid w:val="0"/>
              <w:jc w:val="center"/>
              <w:rPr>
                <w:rFonts w:hint="eastAsia"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noWrap w:val="0"/>
            <w:vAlign w:val="top"/>
          </w:tcPr>
          <w:p>
            <w:pPr>
              <w:rPr>
                <w:rFonts w:hint="eastAsia" w:ascii="宋体" w:hAnsi="宋体" w:cs="宋体"/>
                <w:b/>
                <w:szCs w:val="21"/>
              </w:rPr>
            </w:pPr>
            <w:r>
              <w:rPr>
                <w:rFonts w:hint="eastAsia" w:ascii="宋体" w:hAnsi="宋体" w:cs="宋体"/>
                <w:b/>
                <w:szCs w:val="21"/>
              </w:rPr>
              <w:t>8.5.1</w:t>
            </w:r>
          </w:p>
          <w:p>
            <w:pPr>
              <w:rPr>
                <w:rFonts w:hint="eastAsia" w:ascii="宋体" w:hAnsi="宋体" w:cs="宋体"/>
                <w:b/>
                <w:szCs w:val="21"/>
              </w:rPr>
            </w:pPr>
          </w:p>
        </w:tc>
        <w:tc>
          <w:tcPr>
            <w:tcW w:w="10535" w:type="dxa"/>
            <w:noWrap w:val="0"/>
            <w:vAlign w:val="top"/>
          </w:tcPr>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公司制定了《运行策划和控制程序》</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明确了受控条件包括：</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a）规定产品/服务/活动的特征以及拟获得结果的文件； </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b）可获得和使用适宜的监视和测量资源；</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c）适当阶段实施监视和测量活动；</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d）为过程的运行提供适宜的基础设施和环境；</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e）配备具备能力的人员，包括所要求的资格；</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f）对特殊过程的确认和定期再确认；</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g）采取措施防止人为错误；</w:t>
            </w:r>
          </w:p>
          <w:p>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h）实施放行、交付和交付后活动。</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1、</w:t>
            </w:r>
            <w:r>
              <w:rPr>
                <w:rFonts w:hint="eastAsia" w:ascii="宋体" w:hAnsi="宋体" w:cs="Times New Roman"/>
                <w:color w:val="000000"/>
                <w:szCs w:val="21"/>
                <w:lang w:val="zh-CN" w:eastAsia="zh-CN"/>
              </w:rPr>
              <w:t>公司对计算机技术研发过程进行了控制。</w:t>
            </w:r>
          </w:p>
          <w:p>
            <w:pPr>
              <w:spacing w:line="360" w:lineRule="exact"/>
              <w:rPr>
                <w:rFonts w:hint="eastAsia" w:ascii="宋体" w:hAnsi="宋体" w:cs="宋体"/>
                <w:sz w:val="21"/>
                <w:szCs w:val="21"/>
                <w:u w:val="none"/>
                <w:lang w:val="en-US" w:eastAsia="zh-CN"/>
              </w:rPr>
            </w:pPr>
            <w:r>
              <w:rPr>
                <w:rFonts w:hint="eastAsia" w:ascii="宋体" w:hAnsi="宋体" w:cs="Times New Roman"/>
                <w:color w:val="000000"/>
                <w:szCs w:val="21"/>
                <w:lang w:val="en-US" w:eastAsia="zh-CN"/>
              </w:rPr>
              <w:t>2、</w:t>
            </w:r>
            <w:r>
              <w:rPr>
                <w:rFonts w:hint="eastAsia" w:ascii="宋体" w:hAnsi="宋体" w:cs="Times New Roman"/>
                <w:color w:val="000000"/>
                <w:szCs w:val="21"/>
                <w:lang w:val="zh-CN" w:eastAsia="zh-CN"/>
              </w:rPr>
              <w:t>组织产品覆盖范围：</w:t>
            </w:r>
            <w:r>
              <w:rPr>
                <w:rFonts w:hint="eastAsia" w:ascii="宋体" w:hAnsi="宋体"/>
                <w:szCs w:val="21"/>
                <w:lang w:eastAsia="zh-CN"/>
              </w:rPr>
              <w:t>振动（在线、离线）监测系统的软件、硬件开发及销售</w:t>
            </w:r>
            <w:r>
              <w:rPr>
                <w:rFonts w:hint="eastAsia" w:ascii="宋体" w:hAnsi="宋体"/>
                <w:szCs w:val="21"/>
              </w:rPr>
              <w:t xml:space="preserve"> </w:t>
            </w:r>
          </w:p>
          <w:p>
            <w:pPr>
              <w:spacing w:line="360" w:lineRule="exact"/>
              <w:rPr>
                <w:rFonts w:hint="eastAsia" w:ascii="宋体" w:hAnsi="宋体" w:eastAsia="宋体" w:cs="宋体"/>
                <w:sz w:val="21"/>
                <w:szCs w:val="21"/>
                <w:u w:val="none"/>
              </w:rPr>
            </w:pPr>
            <w:r>
              <w:rPr>
                <w:rFonts w:hint="eastAsia" w:ascii="宋体" w:hAnsi="宋体" w:eastAsia="宋体" w:cs="宋体"/>
                <w:sz w:val="21"/>
                <w:szCs w:val="21"/>
                <w:u w:val="none"/>
              </w:rPr>
              <w:t xml:space="preserve">销售服务流程图：                                          </w:t>
            </w:r>
          </w:p>
          <w:p>
            <w:pPr>
              <w:jc w:val="both"/>
              <w:rPr>
                <w:rFonts w:hint="eastAsia" w:ascii="宋体" w:hAnsi="宋体" w:eastAsia="宋体" w:cs="宋体"/>
                <w:sz w:val="21"/>
                <w:szCs w:val="21"/>
                <w:u w:val="none"/>
              </w:rPr>
            </w:pPr>
            <w:r>
              <w:rPr>
                <w:rFonts w:hint="eastAsia" w:ascii="宋体" w:hAnsi="宋体" w:eastAsia="宋体" w:cs="宋体"/>
                <w:sz w:val="21"/>
                <w:szCs w:val="21"/>
                <w:u w:val="none"/>
              </w:rPr>
              <w:t xml:space="preserve">投标/业务洽谈→签订合同→采购→物资检验→交付 </w:t>
            </w:r>
          </w:p>
          <w:p>
            <w:pPr>
              <w:rPr>
                <w:rFonts w:hint="eastAsia" w:ascii="宋体" w:hAnsi="宋体" w:eastAsia="宋体" w:cs="宋体"/>
                <w:sz w:val="21"/>
                <w:szCs w:val="21"/>
                <w:u w:val="none"/>
              </w:rPr>
            </w:pPr>
            <w:r>
              <w:rPr>
                <w:rFonts w:hint="eastAsia" w:ascii="宋体" w:hAnsi="宋体" w:eastAsia="宋体" w:cs="宋体"/>
                <w:sz w:val="21"/>
                <w:szCs w:val="21"/>
                <w:u w:val="none"/>
              </w:rPr>
              <w:t>软件应用开发流程图：</w:t>
            </w:r>
          </w:p>
          <w:p>
            <w:pPr>
              <w:spacing w:line="400" w:lineRule="exact"/>
              <w:rPr>
                <w:rFonts w:hint="eastAsia" w:ascii="宋体" w:hAnsi="宋体" w:eastAsia="宋体" w:cs="宋体"/>
                <w:sz w:val="21"/>
                <w:szCs w:val="16"/>
                <w:u w:val="none"/>
                <w:lang w:eastAsia="zh-CN"/>
              </w:rPr>
            </w:pPr>
            <w:r>
              <w:rPr>
                <w:rFonts w:hint="eastAsia" w:ascii="宋体" w:hAnsi="宋体" w:eastAsia="宋体" w:cs="宋体"/>
                <w:sz w:val="21"/>
                <w:szCs w:val="16"/>
                <w:u w:val="none"/>
                <w:lang w:eastAsia="zh-CN"/>
              </w:rPr>
              <w:t>需求分析-概要设计-详细设计-编码-硬件采购-设备组装（外包）-测试验收</w:t>
            </w:r>
          </w:p>
          <w:p>
            <w:pPr>
              <w:spacing w:line="400" w:lineRule="exact"/>
              <w:rPr>
                <w:rFonts w:hint="eastAsia" w:ascii="宋体" w:hAnsi="宋体" w:cs="Times New Roman"/>
                <w:color w:val="000000"/>
                <w:szCs w:val="21"/>
                <w:lang w:val="zh-CN" w:eastAsia="zh-CN"/>
              </w:rPr>
            </w:pPr>
            <w:r>
              <w:rPr>
                <w:rFonts w:hint="eastAsia" w:ascii="宋体" w:hAnsi="宋体" w:cs="Times New Roman"/>
                <w:color w:val="000000"/>
                <w:szCs w:val="21"/>
                <w:lang w:val="en-US" w:eastAsia="zh-CN"/>
              </w:rPr>
              <w:t>3、</w:t>
            </w:r>
            <w:r>
              <w:rPr>
                <w:rFonts w:hint="eastAsia" w:ascii="宋体" w:hAnsi="宋体" w:cs="Times New Roman"/>
                <w:color w:val="000000"/>
                <w:szCs w:val="21"/>
                <w:lang w:val="zh-CN" w:eastAsia="zh-CN"/>
              </w:rPr>
              <w:t>获得的作业指导书：产品开发作业指导书</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lang w:val="en-US" w:eastAsia="zh-CN"/>
              </w:rPr>
              <w:t>4、为</w:t>
            </w:r>
            <w:r>
              <w:rPr>
                <w:rFonts w:hint="eastAsia" w:ascii="宋体" w:hAnsi="宋体" w:cs="Times New Roman"/>
                <w:color w:val="000000"/>
                <w:szCs w:val="21"/>
                <w:highlight w:val="none"/>
                <w:lang w:val="en-US" w:eastAsia="zh-CN"/>
              </w:rPr>
              <w:t>过程的运行提供适宜的基础设施和环境：现场查见有</w:t>
            </w:r>
            <w:r>
              <w:rPr>
                <w:rFonts w:hint="eastAsia" w:ascii="宋体" w:hAnsi="宋体" w:cs="Times New Roman"/>
                <w:color w:val="000000"/>
                <w:szCs w:val="21"/>
                <w:highlight w:val="none"/>
              </w:rPr>
              <w:t>电脑、打印件、数字信号发生器</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rPr>
              <w:t>网络等</w:t>
            </w:r>
            <w:r>
              <w:rPr>
                <w:rFonts w:hint="eastAsia" w:ascii="宋体" w:hAnsi="宋体" w:cs="Times New Roman"/>
                <w:color w:val="000000"/>
                <w:szCs w:val="21"/>
                <w:highlight w:val="none"/>
                <w:lang w:eastAsia="zh-CN"/>
              </w:rPr>
              <w:t>；</w:t>
            </w:r>
            <w:r>
              <w:rPr>
                <w:rFonts w:hint="eastAsia" w:ascii="宋体" w:hAnsi="宋体" w:cs="Times New Roman"/>
                <w:color w:val="000000"/>
                <w:szCs w:val="21"/>
                <w:highlight w:val="none"/>
              </w:rPr>
              <w:t>均进行了维护和保养</w:t>
            </w:r>
            <w:r>
              <w:rPr>
                <w:rFonts w:hint="eastAsia" w:ascii="宋体" w:hAnsi="宋体" w:cs="Times New Roman"/>
                <w:color w:val="000000"/>
                <w:szCs w:val="21"/>
                <w:highlight w:val="none"/>
                <w:lang w:eastAsia="zh-CN"/>
              </w:rPr>
              <w:t>。</w:t>
            </w:r>
          </w:p>
          <w:p>
            <w:pPr>
              <w:spacing w:line="400" w:lineRule="exact"/>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en-US" w:eastAsia="zh-CN"/>
              </w:rPr>
              <w:t>5、</w:t>
            </w:r>
            <w:r>
              <w:rPr>
                <w:rFonts w:hint="eastAsia" w:ascii="宋体" w:hAnsi="宋体" w:cs="Times New Roman"/>
                <w:color w:val="000000"/>
                <w:szCs w:val="21"/>
                <w:highlight w:val="none"/>
                <w:lang w:val="zh-CN" w:eastAsia="zh-CN"/>
              </w:rPr>
              <w:t>监视和测量设备</w:t>
            </w:r>
          </w:p>
          <w:p>
            <w:pPr>
              <w:spacing w:line="400" w:lineRule="exact"/>
              <w:rPr>
                <w:rFonts w:hint="eastAsia" w:ascii="宋体" w:hAnsi="宋体" w:cs="Times New Roman"/>
                <w:color w:val="000000"/>
                <w:szCs w:val="21"/>
                <w:highlight w:val="none"/>
                <w:lang w:eastAsia="zh-CN"/>
              </w:rPr>
            </w:pPr>
            <w:r>
              <w:rPr>
                <w:rFonts w:hint="eastAsia" w:ascii="宋体" w:hAnsi="宋体" w:cs="Times New Roman"/>
                <w:color w:val="000000"/>
                <w:szCs w:val="21"/>
                <w:highlight w:val="none"/>
                <w:lang w:val="en-US" w:eastAsia="zh-CN"/>
              </w:rPr>
              <w:t xml:space="preserve">   </w:t>
            </w:r>
            <w:r>
              <w:rPr>
                <w:rFonts w:hint="eastAsia" w:ascii="宋体" w:hAnsi="宋体" w:cs="Times New Roman"/>
                <w:color w:val="000000"/>
                <w:szCs w:val="21"/>
                <w:highlight w:val="none"/>
                <w:lang w:eastAsia="zh-CN"/>
              </w:rPr>
              <w:t>公司硬件方面的质量由供应商</w:t>
            </w:r>
            <w:r>
              <w:rPr>
                <w:rFonts w:hint="eastAsia" w:ascii="宋体" w:hAnsi="宋体" w:cs="Times New Roman"/>
                <w:color w:val="000000"/>
                <w:szCs w:val="21"/>
                <w:highlight w:val="none"/>
                <w:lang w:val="en-US" w:eastAsia="zh-CN"/>
              </w:rPr>
              <w:t>和外包方</w:t>
            </w:r>
            <w:r>
              <w:rPr>
                <w:rFonts w:hint="eastAsia" w:ascii="宋体" w:hAnsi="宋体" w:cs="Times New Roman"/>
                <w:color w:val="000000"/>
                <w:szCs w:val="21"/>
                <w:highlight w:val="none"/>
                <w:lang w:eastAsia="zh-CN"/>
              </w:rPr>
              <w:t>负责，公司对</w:t>
            </w:r>
            <w:r>
              <w:rPr>
                <w:rFonts w:hint="eastAsia" w:ascii="宋体" w:hAnsi="宋体" w:cs="Times New Roman"/>
                <w:color w:val="000000"/>
                <w:szCs w:val="21"/>
                <w:highlight w:val="none"/>
                <w:lang w:val="en-US" w:eastAsia="zh-CN"/>
              </w:rPr>
              <w:t>材料物资</w:t>
            </w:r>
            <w:r>
              <w:rPr>
                <w:rFonts w:hint="eastAsia" w:ascii="宋体" w:hAnsi="宋体" w:cs="Times New Roman"/>
                <w:color w:val="000000"/>
                <w:szCs w:val="21"/>
                <w:highlight w:val="none"/>
                <w:lang w:eastAsia="zh-CN"/>
              </w:rPr>
              <w:t>规格型号、数量，</w:t>
            </w:r>
            <w:r>
              <w:rPr>
                <w:rFonts w:hint="eastAsia" w:ascii="宋体" w:hAnsi="宋体" w:cs="Times New Roman"/>
                <w:color w:val="000000"/>
                <w:szCs w:val="21"/>
                <w:highlight w:val="none"/>
                <w:lang w:val="en-US" w:eastAsia="zh-CN"/>
              </w:rPr>
              <w:t>组装后硬件设备组装效果</w:t>
            </w:r>
            <w:r>
              <w:rPr>
                <w:rFonts w:hint="eastAsia" w:ascii="宋体" w:hAnsi="宋体" w:cs="Times New Roman"/>
                <w:color w:val="000000"/>
                <w:szCs w:val="21"/>
                <w:highlight w:val="none"/>
                <w:lang w:eastAsia="zh-CN"/>
              </w:rPr>
              <w:t>等进行验收；项目在安装过程中使用</w:t>
            </w:r>
            <w:r>
              <w:rPr>
                <w:rFonts w:hint="eastAsia" w:ascii="宋体" w:hAnsi="宋体" w:cs="Times New Roman"/>
                <w:color w:val="000000"/>
                <w:szCs w:val="21"/>
                <w:highlight w:val="none"/>
                <w:lang w:val="en-US" w:eastAsia="zh-CN"/>
              </w:rPr>
              <w:t>数字信号发生器</w:t>
            </w:r>
            <w:r>
              <w:rPr>
                <w:rFonts w:hint="eastAsia" w:ascii="宋体" w:hAnsi="宋体" w:cs="Times New Roman"/>
                <w:color w:val="000000"/>
                <w:szCs w:val="21"/>
                <w:highlight w:val="none"/>
                <w:lang w:eastAsia="zh-CN"/>
              </w:rPr>
              <w:t>、万用表进行检测。</w:t>
            </w:r>
          </w:p>
          <w:p>
            <w:pPr>
              <w:numPr>
                <w:ilvl w:val="0"/>
                <w:numId w:val="8"/>
              </w:numPr>
              <w:spacing w:line="400" w:lineRule="exact"/>
              <w:ind w:left="105" w:leftChars="0" w:firstLine="0" w:firstLineChars="0"/>
              <w:rPr>
                <w:rFonts w:hint="eastAsia" w:ascii="宋体" w:hAnsi="宋体" w:cs="Times New Roman"/>
                <w:color w:val="000000"/>
                <w:szCs w:val="21"/>
                <w:highlight w:val="none"/>
                <w:lang w:val="zh-CN" w:eastAsia="zh-CN"/>
              </w:rPr>
            </w:pPr>
            <w:r>
              <w:rPr>
                <w:rFonts w:hint="eastAsia" w:ascii="宋体" w:hAnsi="宋体" w:cs="Times New Roman"/>
                <w:color w:val="000000"/>
                <w:szCs w:val="21"/>
                <w:highlight w:val="none"/>
                <w:lang w:val="zh-CN" w:eastAsia="zh-CN"/>
              </w:rPr>
              <w:t>抽查公司</w:t>
            </w:r>
            <w:r>
              <w:rPr>
                <w:rFonts w:hint="eastAsia" w:ascii="宋体" w:hAnsi="宋体"/>
                <w:szCs w:val="21"/>
                <w:highlight w:val="none"/>
              </w:rPr>
              <w:t>计算机应用软件开发及服务</w:t>
            </w:r>
            <w:r>
              <w:rPr>
                <w:rFonts w:hint="eastAsia" w:ascii="宋体" w:hAnsi="宋体"/>
                <w:szCs w:val="21"/>
                <w:highlight w:val="none"/>
                <w:lang w:eastAsia="zh-CN"/>
              </w:rPr>
              <w:t>，</w:t>
            </w:r>
            <w:r>
              <w:rPr>
                <w:rFonts w:hint="eastAsia" w:ascii="宋体" w:hAnsi="宋体"/>
                <w:szCs w:val="21"/>
                <w:highlight w:val="none"/>
              </w:rPr>
              <w:t>电子产品、软件、电气设备技术咨询及销售服务</w:t>
            </w:r>
            <w:r>
              <w:rPr>
                <w:rFonts w:hint="eastAsia" w:ascii="宋体" w:hAnsi="宋体" w:cs="Times New Roman"/>
                <w:color w:val="000000"/>
                <w:szCs w:val="21"/>
                <w:highlight w:val="none"/>
                <w:lang w:val="zh-CN" w:eastAsia="zh-CN"/>
              </w:rPr>
              <w:t>控制情况：</w:t>
            </w:r>
          </w:p>
          <w:p>
            <w:pPr>
              <w:spacing w:line="360" w:lineRule="exac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 xml:space="preserve">销售服务流程图：                                          </w:t>
            </w:r>
          </w:p>
          <w:p>
            <w:pPr>
              <w:jc w:val="both"/>
              <w:rPr>
                <w:rFonts w:hint="eastAsia" w:ascii="宋体" w:hAnsi="宋体" w:cs="Times New Roman"/>
                <w:color w:val="000000"/>
                <w:szCs w:val="21"/>
                <w:highlight w:val="none"/>
                <w:lang w:val="zh-CN" w:eastAsia="zh-CN"/>
              </w:rPr>
            </w:pPr>
            <w:r>
              <w:rPr>
                <w:rFonts w:hint="eastAsia" w:ascii="宋体" w:hAnsi="宋体" w:eastAsia="宋体" w:cs="宋体"/>
                <w:sz w:val="21"/>
                <w:szCs w:val="21"/>
                <w:highlight w:val="none"/>
                <w:u w:val="none"/>
              </w:rPr>
              <w:t xml:space="preserve">投标/业务洽谈→签订合同→采购→物资检验→交付 </w:t>
            </w:r>
          </w:p>
          <w:p>
            <w:pPr>
              <w:numPr>
                <w:ilvl w:val="0"/>
                <w:numId w:val="0"/>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抽客户名称：</w:t>
            </w:r>
            <w:r>
              <w:rPr>
                <w:rFonts w:hint="eastAsia" w:ascii="宋体" w:hAnsi="宋体" w:cs="宋体"/>
                <w:color w:val="000000"/>
                <w:szCs w:val="21"/>
                <w:highlight w:val="none"/>
                <w:lang w:eastAsia="zh-CN"/>
              </w:rPr>
              <w:t>重庆</w:t>
            </w:r>
            <w:r>
              <w:rPr>
                <w:rFonts w:hint="eastAsia" w:ascii="宋体" w:hAnsi="宋体" w:cs="宋体"/>
                <w:color w:val="000000"/>
                <w:szCs w:val="21"/>
                <w:highlight w:val="none"/>
                <w:lang w:val="en-US" w:eastAsia="zh-CN"/>
              </w:rPr>
              <w:t>云天化天聚新材料</w:t>
            </w:r>
            <w:r>
              <w:rPr>
                <w:rFonts w:hint="eastAsia" w:ascii="宋体" w:hAnsi="宋体" w:cs="宋体"/>
                <w:color w:val="000000"/>
                <w:szCs w:val="21"/>
                <w:highlight w:val="none"/>
                <w:lang w:eastAsia="zh-CN"/>
              </w:rPr>
              <w:t>有限公司</w:t>
            </w:r>
            <w:r>
              <w:rPr>
                <w:rFonts w:hint="eastAsia" w:ascii="宋体" w:hAnsi="宋体" w:cs="Times New Roman"/>
                <w:color w:val="000000"/>
                <w:szCs w:val="21"/>
                <w:highlight w:val="none"/>
                <w:lang w:val="en-US" w:eastAsia="zh-CN"/>
              </w:rPr>
              <w:t xml:space="preserve">  </w:t>
            </w:r>
          </w:p>
          <w:p>
            <w:pPr>
              <w:numPr>
                <w:ilvl w:val="0"/>
                <w:numId w:val="0"/>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销售产品：</w:t>
            </w:r>
            <w:r>
              <w:rPr>
                <w:rFonts w:hint="eastAsia"/>
                <w:szCs w:val="22"/>
                <w:lang w:val="en-US" w:eastAsia="zh-CN"/>
              </w:rPr>
              <w:t>无线加速度传感器、无线数据采集站、卓微便携式离/在线状态监测系统、卓微科技平台等</w:t>
            </w:r>
            <w:r>
              <w:rPr>
                <w:rFonts w:hint="eastAsia" w:ascii="宋体" w:hAnsi="宋体" w:cs="Times New Roman"/>
                <w:color w:val="000000"/>
                <w:szCs w:val="21"/>
                <w:highlight w:val="none"/>
                <w:lang w:val="en-US" w:eastAsia="zh-CN"/>
              </w:rPr>
              <w:t xml:space="preserve">    时间：2021.4.2</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技术咨询：</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公司提供客户咨询的相关证据，包含了技术参数、规格型号等，如下：</w:t>
            </w:r>
          </w:p>
          <w:p>
            <w:pPr>
              <w:numPr>
                <w:ilvl w:val="0"/>
                <w:numId w:val="0"/>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  质量保证：依据国家标准。</w:t>
            </w:r>
          </w:p>
          <w:p>
            <w:pPr>
              <w:numPr>
                <w:ilvl w:val="0"/>
                <w:numId w:val="9"/>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业务洽谈</w:t>
            </w:r>
          </w:p>
          <w:p>
            <w:pPr>
              <w:numPr>
                <w:ilvl w:val="0"/>
                <w:numId w:val="0"/>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   该业务为非招标的方式，由销售员电话营销洽谈签订，买方为</w:t>
            </w:r>
            <w:r>
              <w:rPr>
                <w:rFonts w:hint="eastAsia" w:ascii="宋体" w:hAnsi="宋体" w:cs="宋体"/>
                <w:color w:val="000000"/>
                <w:szCs w:val="21"/>
                <w:highlight w:val="none"/>
                <w:lang w:eastAsia="zh-CN"/>
              </w:rPr>
              <w:t>重庆</w:t>
            </w:r>
            <w:r>
              <w:rPr>
                <w:rFonts w:hint="eastAsia" w:ascii="宋体" w:hAnsi="宋体" w:cs="宋体"/>
                <w:color w:val="000000"/>
                <w:szCs w:val="21"/>
                <w:highlight w:val="none"/>
                <w:lang w:val="en-US" w:eastAsia="zh-CN"/>
              </w:rPr>
              <w:t>云天化天聚新材料</w:t>
            </w:r>
            <w:r>
              <w:rPr>
                <w:rFonts w:hint="eastAsia" w:ascii="宋体" w:hAnsi="宋体" w:cs="宋体"/>
                <w:color w:val="000000"/>
                <w:szCs w:val="21"/>
                <w:highlight w:val="none"/>
                <w:lang w:eastAsia="zh-CN"/>
              </w:rPr>
              <w:t>有限公司</w:t>
            </w:r>
            <w:r>
              <w:rPr>
                <w:rFonts w:hint="eastAsia" w:ascii="宋体" w:hAnsi="宋体" w:cs="Times New Roman"/>
                <w:color w:val="000000"/>
                <w:szCs w:val="21"/>
                <w:highlight w:val="none"/>
                <w:lang w:val="en-US" w:eastAsia="zh-CN"/>
              </w:rPr>
              <w:t>。</w:t>
            </w:r>
          </w:p>
          <w:p>
            <w:pPr>
              <w:numPr>
                <w:ilvl w:val="0"/>
                <w:numId w:val="9"/>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签订合同</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合同签订时间：2021年4月2日</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签订地点：重庆</w:t>
            </w:r>
          </w:p>
          <w:p>
            <w:pPr>
              <w:numPr>
                <w:ilvl w:val="0"/>
                <w:numId w:val="0"/>
              </w:num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合同组成部分包含了：</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1.双方在合同履行过程中达成的协议、纪要等文件;</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2.合同协议书及附件</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3.签约通知书;</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4.专用合同条款及附件</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5.通用合同条款</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6.采购文件</w:t>
            </w:r>
          </w:p>
          <w:p>
            <w:pPr>
              <w:numPr>
                <w:ilvl w:val="0"/>
                <w:numId w:val="0"/>
              </w:numPr>
              <w:spacing w:line="400" w:lineRule="exact"/>
              <w:rPr>
                <w:rFonts w:hint="default" w:ascii="宋体" w:hAnsi="宋体" w:cs="Times New Roman"/>
                <w:color w:val="000000"/>
                <w:szCs w:val="21"/>
                <w:highlight w:val="none"/>
                <w:lang w:val="en-US" w:eastAsia="zh-CN"/>
              </w:rPr>
            </w:pPr>
            <w:r>
              <w:rPr>
                <w:rFonts w:hint="default" w:ascii="宋体" w:hAnsi="宋体" w:cs="Times New Roman"/>
                <w:color w:val="000000"/>
                <w:szCs w:val="21"/>
                <w:highlight w:val="none"/>
                <w:lang w:val="en-US" w:eastAsia="zh-CN"/>
              </w:rPr>
              <w:t>7.构成合同的其他文件</w:t>
            </w:r>
          </w:p>
          <w:p>
            <w:pPr>
              <w:numPr>
                <w:ilvl w:val="0"/>
                <w:numId w:val="0"/>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合同价格：52580（含税）</w:t>
            </w:r>
          </w:p>
          <w:p>
            <w:pPr>
              <w:numPr>
                <w:ilvl w:val="0"/>
                <w:numId w:val="9"/>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物料采购</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采购</w:t>
            </w:r>
            <w:r>
              <w:rPr>
                <w:rFonts w:hint="eastAsia" w:ascii="宋体" w:hAnsi="宋体" w:cs="宋体"/>
                <w:szCs w:val="21"/>
                <w:highlight w:val="none"/>
              </w:rPr>
              <w:t>产品名称：</w:t>
            </w:r>
            <w:r>
              <w:rPr>
                <w:rFonts w:hint="eastAsia" w:ascii="宋体" w:hAnsi="宋体" w:cs="宋体"/>
                <w:szCs w:val="21"/>
                <w:highlight w:val="none"/>
                <w:lang w:val="en-US" w:eastAsia="zh-CN"/>
              </w:rPr>
              <w:t>诊断变送器、在线数据采集柜、传感器三层飞机盒</w:t>
            </w:r>
            <w:r>
              <w:rPr>
                <w:rFonts w:hint="eastAsia" w:ascii="宋体" w:hAnsi="宋体" w:cs="宋体"/>
                <w:szCs w:val="21"/>
                <w:highlight w:val="none"/>
                <w:lang w:eastAsia="zh-CN"/>
              </w:rPr>
              <w:t>等</w:t>
            </w:r>
            <w:r>
              <w:rPr>
                <w:rFonts w:hint="eastAsia" w:ascii="宋体" w:hAnsi="宋体" w:cs="宋体"/>
                <w:szCs w:val="21"/>
                <w:highlight w:val="none"/>
                <w:lang w:val="en-US" w:eastAsia="zh-CN"/>
              </w:rPr>
              <w:t xml:space="preserve">   </w:t>
            </w:r>
          </w:p>
          <w:p>
            <w:pPr>
              <w:numPr>
                <w:ilvl w:val="0"/>
                <w:numId w:val="0"/>
              </w:numPr>
              <w:spacing w:line="400" w:lineRule="exact"/>
              <w:ind w:firstLine="420" w:firstLineChars="200"/>
              <w:rPr>
                <w:rFonts w:hint="eastAsia" w:ascii="宋体" w:hAnsi="宋体" w:eastAsia="宋体" w:cs="宋体"/>
                <w:iCs/>
                <w:szCs w:val="21"/>
                <w:highlight w:val="none"/>
                <w:lang w:val="en-US" w:eastAsia="zh-CN"/>
              </w:rPr>
            </w:pPr>
            <w:r>
              <w:rPr>
                <w:rFonts w:hint="eastAsia" w:ascii="宋体" w:hAnsi="宋体" w:cs="Times New Roman"/>
                <w:color w:val="000000"/>
                <w:szCs w:val="21"/>
                <w:highlight w:val="none"/>
                <w:lang w:val="en-US" w:eastAsia="zh-CN"/>
              </w:rPr>
              <w:t>供方名称：</w:t>
            </w:r>
            <w:r>
              <w:rPr>
                <w:rFonts w:hint="eastAsia" w:ascii="宋体" w:hAnsi="宋体" w:cs="宋体"/>
                <w:szCs w:val="21"/>
                <w:highlight w:val="none"/>
                <w:lang w:val="en-US" w:eastAsia="zh-CN"/>
              </w:rPr>
              <w:t>成都正弘伟业包装有限公司</w:t>
            </w:r>
            <w:r>
              <w:rPr>
                <w:rFonts w:hint="eastAsia" w:ascii="宋体" w:hAnsi="宋体" w:cs="宋体"/>
                <w:szCs w:val="21"/>
                <w:highlight w:val="none"/>
              </w:rPr>
              <w:t>（供应：</w:t>
            </w:r>
            <w:r>
              <w:rPr>
                <w:rFonts w:hint="eastAsia" w:ascii="宋体" w:hAnsi="宋体" w:cs="宋体"/>
                <w:szCs w:val="21"/>
                <w:highlight w:val="none"/>
                <w:lang w:val="en-US" w:eastAsia="zh-CN"/>
              </w:rPr>
              <w:t>自诊断变送器、在线数据采集柜、传感器三层飞机盒</w:t>
            </w:r>
            <w:r>
              <w:rPr>
                <w:rFonts w:hint="eastAsia" w:ascii="宋体" w:hAnsi="宋体" w:cs="宋体"/>
                <w:szCs w:val="21"/>
                <w:highlight w:val="none"/>
                <w:lang w:eastAsia="zh-CN"/>
              </w:rPr>
              <w:t>等</w:t>
            </w:r>
            <w:r>
              <w:rPr>
                <w:rFonts w:hint="eastAsia" w:ascii="宋体" w:hAnsi="宋体" w:cs="宋体"/>
                <w:szCs w:val="21"/>
                <w:highlight w:val="none"/>
              </w:rPr>
              <w:t>）</w:t>
            </w:r>
            <w:r>
              <w:rPr>
                <w:rFonts w:hint="eastAsia" w:ascii="宋体" w:hAnsi="宋体" w:cs="Times New Roman"/>
                <w:color w:val="000000"/>
                <w:szCs w:val="21"/>
                <w:highlight w:val="none"/>
                <w:lang w:val="en-US" w:eastAsia="zh-CN"/>
              </w:rPr>
              <w:t xml:space="preserve">  </w:t>
            </w:r>
          </w:p>
          <w:p>
            <w:pPr>
              <w:numPr>
                <w:ilvl w:val="0"/>
                <w:numId w:val="0"/>
              </w:numPr>
              <w:spacing w:line="400" w:lineRule="exact"/>
              <w:rPr>
                <w:rFonts w:hint="default" w:ascii="宋体" w:hAnsi="宋体" w:cs="宋体"/>
                <w:iCs/>
                <w:szCs w:val="21"/>
                <w:highlight w:val="none"/>
                <w:lang w:val="en-US" w:eastAsia="zh-CN"/>
              </w:rPr>
            </w:pPr>
            <w:r>
              <w:rPr>
                <w:rFonts w:hint="eastAsia" w:ascii="宋体" w:hAnsi="宋体" w:cs="宋体"/>
                <w:iCs/>
                <w:szCs w:val="21"/>
                <w:highlight w:val="none"/>
                <w:lang w:val="en-US" w:eastAsia="zh-CN"/>
              </w:rPr>
              <w:t xml:space="preserve">    采购数量： </w:t>
            </w:r>
            <w:r>
              <w:rPr>
                <w:rFonts w:hint="eastAsia" w:ascii="宋体" w:hAnsi="宋体" w:cs="宋体"/>
                <w:szCs w:val="21"/>
                <w:highlight w:val="none"/>
                <w:lang w:val="en-US" w:eastAsia="zh-CN"/>
              </w:rPr>
              <w:t>诊断变送器10个、在线数据采集柜2个、传感器三层飞机盒3个</w:t>
            </w:r>
            <w:r>
              <w:rPr>
                <w:rFonts w:hint="eastAsia" w:ascii="宋体" w:hAnsi="宋体" w:cs="宋体"/>
                <w:szCs w:val="21"/>
                <w:highlight w:val="none"/>
                <w:lang w:eastAsia="zh-CN"/>
              </w:rPr>
              <w:t>等</w:t>
            </w:r>
          </w:p>
          <w:p>
            <w:pPr>
              <w:numPr>
                <w:ilvl w:val="0"/>
                <w:numId w:val="9"/>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物料检验</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检验项目：</w:t>
            </w:r>
            <w:r>
              <w:rPr>
                <w:rFonts w:hint="eastAsia" w:ascii="宋体" w:hAnsi="宋体" w:cs="宋体"/>
                <w:szCs w:val="21"/>
                <w:highlight w:val="none"/>
                <w:lang w:eastAsia="zh-CN"/>
              </w:rPr>
              <w:t>数量、包装、</w:t>
            </w:r>
            <w:r>
              <w:rPr>
                <w:rFonts w:hint="eastAsia" w:ascii="宋体" w:hAnsi="宋体" w:cs="宋体"/>
                <w:szCs w:val="21"/>
                <w:highlight w:val="none"/>
                <w:lang w:val="en-US" w:eastAsia="zh-CN"/>
              </w:rPr>
              <w:t>料号、</w:t>
            </w:r>
            <w:r>
              <w:rPr>
                <w:rFonts w:hint="eastAsia" w:ascii="宋体" w:hAnsi="宋体" w:cs="宋体"/>
                <w:szCs w:val="21"/>
                <w:highlight w:val="none"/>
                <w:lang w:eastAsia="zh-CN"/>
              </w:rPr>
              <w:t>规格型号等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 xml:space="preserve"> 合格</w:t>
            </w:r>
            <w:r>
              <w:rPr>
                <w:rFonts w:hint="eastAsia" w:ascii="宋体" w:hAnsi="宋体" w:cs="宋体"/>
                <w:szCs w:val="21"/>
                <w:highlight w:val="none"/>
              </w:rPr>
              <w:t>     </w:t>
            </w:r>
          </w:p>
          <w:p>
            <w:pPr>
              <w:spacing w:line="360" w:lineRule="auto"/>
              <w:ind w:firstLine="420" w:firstLineChars="200"/>
              <w:rPr>
                <w:rFonts w:hint="default" w:ascii="宋体" w:hAnsi="宋体" w:cs="Times New Roman"/>
                <w:color w:val="000000"/>
                <w:szCs w:val="21"/>
                <w:highlight w:val="none"/>
                <w:lang w:val="en-US" w:eastAsia="zh-CN"/>
              </w:rPr>
            </w:pPr>
            <w:r>
              <w:rPr>
                <w:rFonts w:hint="eastAsia" w:ascii="宋体" w:hAnsi="宋体" w:cs="宋体"/>
                <w:szCs w:val="21"/>
                <w:highlight w:val="none"/>
                <w:lang w:eastAsia="zh-CN"/>
              </w:rPr>
              <w:t>检验</w:t>
            </w:r>
            <w:r>
              <w:rPr>
                <w:rFonts w:hint="eastAsia" w:ascii="宋体" w:hAnsi="宋体" w:cs="宋体"/>
                <w:szCs w:val="21"/>
                <w:highlight w:val="none"/>
              </w:rPr>
              <w:t>员：</w:t>
            </w:r>
            <w:r>
              <w:rPr>
                <w:rFonts w:hint="eastAsia" w:ascii="宋体" w:hAnsi="宋体" w:cs="宋体"/>
                <w:szCs w:val="21"/>
                <w:highlight w:val="none"/>
                <w:lang w:val="en-US" w:eastAsia="zh-CN"/>
              </w:rPr>
              <w:t>李升</w:t>
            </w:r>
            <w:r>
              <w:rPr>
                <w:rFonts w:hint="eastAsia" w:ascii="宋体" w:hAnsi="宋体" w:cs="宋体"/>
                <w:szCs w:val="21"/>
                <w:highlight w:val="none"/>
              </w:rPr>
              <w:t>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04.10</w:t>
            </w:r>
          </w:p>
          <w:p>
            <w:pPr>
              <w:numPr>
                <w:ilvl w:val="0"/>
                <w:numId w:val="9"/>
              </w:numPr>
              <w:spacing w:line="400" w:lineRule="exact"/>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交付</w:t>
            </w:r>
          </w:p>
          <w:p>
            <w:pPr>
              <w:spacing w:line="400" w:lineRule="exact"/>
              <w:ind w:firstLine="420" w:firstLineChars="200"/>
              <w:rPr>
                <w:rFonts w:hint="eastAsia" w:ascii="宋体" w:hAnsi="宋体" w:cs="宋体"/>
                <w:szCs w:val="21"/>
                <w:highlight w:val="none"/>
                <w:lang w:val="en-US" w:eastAsia="zh-CN"/>
              </w:rPr>
            </w:pPr>
            <w:r>
              <w:rPr>
                <w:rFonts w:hint="eastAsia" w:ascii="宋体" w:hAnsi="宋体" w:cs="Times New Roman"/>
                <w:color w:val="000000"/>
                <w:szCs w:val="21"/>
                <w:highlight w:val="none"/>
                <w:lang w:val="en-US" w:eastAsia="zh-CN"/>
              </w:rPr>
              <w:t>提供产品验收清单，内容包含：</w:t>
            </w:r>
            <w:r>
              <w:rPr>
                <w:rFonts w:hint="eastAsia" w:ascii="宋体" w:hAnsi="宋体" w:cs="宋体"/>
                <w:szCs w:val="21"/>
                <w:highlight w:val="none"/>
                <w:lang w:eastAsia="zh-CN"/>
              </w:rPr>
              <w:t>数量、包装、规格型号、</w:t>
            </w:r>
            <w:r>
              <w:rPr>
                <w:rFonts w:hint="eastAsia" w:ascii="宋体" w:hAnsi="宋体" w:cs="宋体"/>
                <w:szCs w:val="21"/>
                <w:highlight w:val="none"/>
                <w:lang w:val="en-US" w:eastAsia="zh-CN"/>
              </w:rPr>
              <w:t>验收人签字等</w:t>
            </w:r>
          </w:p>
          <w:p>
            <w:pPr>
              <w:spacing w:line="400" w:lineRule="exact"/>
              <w:rPr>
                <w:rFonts w:hint="eastAsia" w:ascii="宋体" w:hAnsi="宋体" w:cs="宋体"/>
                <w:szCs w:val="21"/>
                <w:highlight w:val="yellow"/>
                <w:lang w:val="en-US" w:eastAsia="zh-CN"/>
              </w:rPr>
            </w:pPr>
          </w:p>
          <w:p>
            <w:pPr>
              <w:spacing w:line="400" w:lineRule="exact"/>
              <w:ind w:firstLine="420" w:firstLineChars="200"/>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见，公司关键过程为技术研发过程、销售服务过程。制定了销售服务过程《过程控制程序》，对特殊过程的管理进行了规定。通过产品检验和配备有能力的员工实施设计开发，对特殊过程的质量予以控制，并采取以下方式予以确认：</w:t>
            </w:r>
          </w:p>
          <w:p>
            <w:pPr>
              <w:spacing w:line="400" w:lineRule="exact"/>
              <w:ind w:firstLine="420" w:firstLineChars="200"/>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查见：</w:t>
            </w:r>
          </w:p>
          <w:p>
            <w:pPr>
              <w:spacing w:line="400" w:lineRule="exact"/>
              <w:ind w:firstLine="420" w:firstLineChars="200"/>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对销售服务过程操作作业指导书、人员能力进行了确认。编制了销售过程作业指导书，该过程的员工经公司培训合格后上岗。</w:t>
            </w:r>
          </w:p>
          <w:p>
            <w:pPr>
              <w:spacing w:line="400" w:lineRule="exact"/>
              <w:ind w:firstLine="420" w:firstLineChars="200"/>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抽2021年1月10日对销售服务过程的《特殊过程确认记录表》 </w:t>
            </w:r>
          </w:p>
          <w:p>
            <w:pPr>
              <w:spacing w:line="400" w:lineRule="exact"/>
              <w:ind w:firstLine="420" w:firstLineChars="200"/>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设备鉴定：电话、汽车、电脑、网络等，能满足要求。  </w:t>
            </w:r>
          </w:p>
          <w:p>
            <w:pPr>
              <w:spacing w:line="400" w:lineRule="exact"/>
              <w:ind w:firstLine="420" w:firstLineChars="200"/>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销售内容：按照销售作业指导书的规定进行。</w:t>
            </w:r>
          </w:p>
          <w:p>
            <w:pPr>
              <w:spacing w:line="400" w:lineRule="exact"/>
              <w:ind w:firstLine="420" w:firstLineChars="200"/>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 xml:space="preserve">人员鉴定：销售人员经公司培训合格后上岗 </w:t>
            </w:r>
          </w:p>
          <w:p>
            <w:pPr>
              <w:spacing w:line="400" w:lineRule="exact"/>
              <w:ind w:firstLine="420" w:firstLineChars="200"/>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过程能力鉴定：满足销售过程控制要求。</w:t>
            </w:r>
          </w:p>
          <w:p>
            <w:pPr>
              <w:spacing w:line="400" w:lineRule="exact"/>
              <w:ind w:firstLine="420" w:firstLineChars="200"/>
              <w:rPr>
                <w:rFonts w:hint="default"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确认人：汪斌   时间：2021年1月10日</w:t>
            </w:r>
          </w:p>
          <w:p>
            <w:pPr>
              <w:rPr>
                <w:rFonts w:hint="eastAsia" w:ascii="宋体" w:hAnsi="宋体"/>
                <w:szCs w:val="21"/>
                <w:highlight w:val="yellow"/>
                <w:lang w:eastAsia="zh-CN"/>
              </w:rPr>
            </w:pPr>
            <w:r>
              <w:rPr>
                <w:rFonts w:hint="eastAsia" w:ascii="宋体" w:hAnsi="宋体" w:cs="宋体"/>
                <w:b/>
                <w:bCs/>
                <w:sz w:val="21"/>
                <w:szCs w:val="21"/>
                <w:lang w:val="en-US" w:eastAsia="zh-CN"/>
              </w:rPr>
              <w:t>查：</w:t>
            </w:r>
            <w:r>
              <w:rPr>
                <w:rFonts w:hint="eastAsia" w:ascii="宋体" w:hAnsi="宋体" w:eastAsia="宋体" w:cs="宋体"/>
                <w:b/>
                <w:bCs/>
                <w:sz w:val="21"/>
                <w:szCs w:val="21"/>
              </w:rPr>
              <w:t>公司特殊过程确定为：</w:t>
            </w:r>
            <w:r>
              <w:rPr>
                <w:rFonts w:hint="eastAsia" w:ascii="宋体" w:hAnsi="宋体" w:eastAsia="宋体" w:cs="宋体"/>
                <w:b/>
                <w:bCs/>
                <w:sz w:val="21"/>
                <w:szCs w:val="21"/>
                <w:lang w:val="en-US" w:eastAsia="zh-CN"/>
              </w:rPr>
              <w:t>技术</w:t>
            </w:r>
            <w:r>
              <w:rPr>
                <w:rFonts w:hint="eastAsia" w:ascii="宋体" w:hAnsi="宋体" w:eastAsia="宋体" w:cs="宋体"/>
                <w:b/>
                <w:bCs/>
                <w:sz w:val="21"/>
                <w:szCs w:val="21"/>
                <w:lang w:eastAsia="zh-CN"/>
              </w:rPr>
              <w:t>研发过程，</w:t>
            </w:r>
            <w:r>
              <w:rPr>
                <w:rFonts w:hint="eastAsia" w:ascii="宋体" w:hAnsi="宋体" w:eastAsia="宋体" w:cs="宋体"/>
                <w:b/>
                <w:bCs/>
                <w:sz w:val="21"/>
                <w:szCs w:val="21"/>
              </w:rPr>
              <w:t>但现场未能查见对该过程进行确认的相关记录</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不符合</w:t>
            </w:r>
            <w:r>
              <w:rPr>
                <w:rFonts w:hint="eastAsia" w:ascii="宋体" w:hAnsi="宋体" w:cs="宋体"/>
                <w:b/>
                <w:bCs/>
                <w:sz w:val="21"/>
                <w:szCs w:val="21"/>
                <w:lang w:val="en-US" w:eastAsia="zh-CN"/>
              </w:rPr>
              <w:t>。</w:t>
            </w:r>
          </w:p>
          <w:p>
            <w:pPr>
              <w:spacing w:line="400" w:lineRule="exact"/>
              <w:rPr>
                <w:rFonts w:hint="eastAsia" w:ascii="宋体" w:hAnsi="宋体" w:cs="Times New Roman"/>
                <w:color w:val="000000"/>
                <w:szCs w:val="21"/>
              </w:rPr>
            </w:pPr>
            <w:r>
              <w:rPr>
                <w:rFonts w:hint="eastAsia" w:ascii="宋体" w:hAnsi="宋体" w:cs="Times New Roman"/>
                <w:color w:val="000000"/>
                <w:szCs w:val="21"/>
                <w:lang w:val="zh-CN" w:eastAsia="zh-CN"/>
              </w:rPr>
              <w:t>产品交付过程中依据合同或标书的要求在顾客处进行交付，公司对产品严格检验合格后再进行交付，顾客在接收时进行验收，产品生产过程中未发生过大的质量问题，产品质量稳定，暂时没有接到顾客重大的质量投诉；</w:t>
            </w:r>
            <w:r>
              <w:rPr>
                <w:rFonts w:hint="eastAsia" w:ascii="宋体" w:hAnsi="宋体" w:cs="Times New Roman"/>
                <w:color w:val="000000"/>
                <w:szCs w:val="21"/>
              </w:rPr>
              <w:t>整个过程基本受控</w:t>
            </w:r>
            <w:r>
              <w:rPr>
                <w:rFonts w:hint="eastAsia" w:ascii="宋体" w:hAnsi="宋体" w:cs="Times New Roman"/>
                <w:color w:val="000000"/>
                <w:szCs w:val="21"/>
                <w:lang w:eastAsia="zh-CN"/>
              </w:rPr>
              <w:t>。</w:t>
            </w:r>
          </w:p>
        </w:tc>
        <w:tc>
          <w:tcPr>
            <w:tcW w:w="1054" w:type="dxa"/>
            <w:noWrap w:val="0"/>
            <w:vAlign w:val="top"/>
          </w:tcPr>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hint="eastAsia" w:ascii="宋体" w:hAnsi="宋体" w:cs="Times New Roman"/>
                <w:szCs w:val="21"/>
              </w:rPr>
            </w:pPr>
            <w:r>
              <w:rPr>
                <w:rFonts w:hint="eastAsia" w:ascii="宋体" w:hAnsi="宋体" w:cs="Times New Roman"/>
                <w:szCs w:val="21"/>
                <w:lang w:val="en-US" w:eastAsia="zh-CN"/>
              </w:rPr>
              <w:t>标识和可追溯性</w:t>
            </w:r>
          </w:p>
        </w:tc>
        <w:tc>
          <w:tcPr>
            <w:tcW w:w="960" w:type="dxa"/>
            <w:noWrap w:val="0"/>
            <w:vAlign w:val="top"/>
          </w:tcPr>
          <w:p>
            <w:pPr>
              <w:jc w:val="left"/>
              <w:rPr>
                <w:rFonts w:hint="eastAsia" w:ascii="宋体" w:hAnsi="宋体" w:cs="Times New Roman"/>
                <w:szCs w:val="21"/>
              </w:rPr>
            </w:pPr>
            <w:r>
              <w:rPr>
                <w:rFonts w:hint="eastAsia" w:ascii="宋体" w:hAnsi="宋体" w:cs="Times New Roman"/>
                <w:szCs w:val="21"/>
                <w:lang w:val="en-US" w:eastAsia="zh-CN"/>
              </w:rPr>
              <w:t>8.5.2</w:t>
            </w:r>
          </w:p>
        </w:tc>
        <w:tc>
          <w:tcPr>
            <w:tcW w:w="10535" w:type="dxa"/>
            <w:noWrap w:val="0"/>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现场查见，公司在经营过程中对标识和可追溯性进行了规定。</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1、过程用采用测试记录/培训记录等进行标识；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2、采购的物资、器材设备采用标牌、标识标签进行标识，牌、卡上注明产名称、规格型号、生产厂家、等内容；</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3、销售过程采用客户投诉记录、售后维护信息确认回访表等进行标识；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4、成品按要求有检验合格标签，注明用户单位、产品名称、品种规格、数量、生产厂名、出厂日期等，研发软件在软件备注有软件作用、研发人等信息。</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5、通过上述标识可以追溯产品的来源，和产品的生产日期、批次；</w:t>
            </w:r>
          </w:p>
          <w:p>
            <w:pPr>
              <w:ind w:firstLine="420" w:firstLineChars="200"/>
              <w:rPr>
                <w:rFonts w:hint="eastAsia" w:ascii="宋体" w:hAnsi="宋体" w:cs="Times New Roman"/>
                <w:szCs w:val="21"/>
              </w:rPr>
            </w:pPr>
            <w:r>
              <w:rPr>
                <w:rFonts w:hint="eastAsia" w:ascii="宋体" w:hAnsi="宋体" w:cs="Times New Roman"/>
                <w:szCs w:val="21"/>
                <w:lang w:val="en-US" w:eastAsia="zh-CN"/>
              </w:rPr>
              <w:t>标识和可追溯性基本符合要求。</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hint="eastAsia" w:ascii="宋体" w:hAnsi="宋体" w:cs="Times New Roman"/>
                <w:szCs w:val="21"/>
                <w:lang w:val="en-US" w:eastAsia="zh-CN"/>
              </w:rPr>
            </w:pPr>
            <w:r>
              <w:rPr>
                <w:rFonts w:hint="eastAsia" w:ascii="宋体" w:hAnsi="宋体" w:cs="Times New Roman"/>
                <w:szCs w:val="21"/>
              </w:rPr>
              <w:t>顾客或外部供方的财产</w:t>
            </w:r>
          </w:p>
        </w:tc>
        <w:tc>
          <w:tcPr>
            <w:tcW w:w="960" w:type="dxa"/>
            <w:noWrap w:val="0"/>
            <w:vAlign w:val="top"/>
          </w:tcPr>
          <w:p>
            <w:pPr>
              <w:jc w:val="left"/>
              <w:rPr>
                <w:rFonts w:hint="eastAsia" w:ascii="宋体" w:hAnsi="宋体" w:cs="Times New Roman"/>
                <w:szCs w:val="21"/>
              </w:rPr>
            </w:pPr>
            <w:r>
              <w:rPr>
                <w:rFonts w:hint="eastAsia" w:ascii="宋体" w:hAnsi="宋体" w:cs="Times New Roman"/>
                <w:szCs w:val="21"/>
              </w:rPr>
              <w:t>8.5.3</w:t>
            </w:r>
          </w:p>
          <w:p>
            <w:pPr>
              <w:ind w:firstLine="420" w:firstLineChars="200"/>
              <w:jc w:val="left"/>
              <w:rPr>
                <w:rFonts w:hint="eastAsia" w:ascii="宋体" w:hAnsi="宋体" w:cs="Times New Roman"/>
                <w:szCs w:val="21"/>
                <w:lang w:val="en-US" w:eastAsia="zh-CN"/>
              </w:rPr>
            </w:pPr>
          </w:p>
        </w:tc>
        <w:tc>
          <w:tcPr>
            <w:tcW w:w="10535" w:type="dxa"/>
            <w:noWrap w:val="0"/>
            <w:vAlign w:val="top"/>
          </w:tcPr>
          <w:p>
            <w:pPr>
              <w:ind w:firstLine="420" w:firstLineChars="200"/>
              <w:rPr>
                <w:rFonts w:hint="eastAsia" w:ascii="宋体" w:hAnsi="宋体" w:cs="Times New Roman"/>
                <w:szCs w:val="21"/>
              </w:rPr>
            </w:pPr>
            <w:r>
              <w:rPr>
                <w:rFonts w:hint="eastAsia" w:ascii="宋体" w:hAnsi="宋体" w:cs="Times New Roman"/>
                <w:szCs w:val="21"/>
              </w:rPr>
              <w:t>公司的顾客的财产有顾客信息、合同等，公司对顾客或外部供方财产进行了保存，当顾客或外部供方财产丢失时，应告知顾客或外部供方。</w:t>
            </w:r>
          </w:p>
          <w:p>
            <w:pPr>
              <w:ind w:firstLine="420" w:firstLineChars="200"/>
              <w:rPr>
                <w:rFonts w:hint="eastAsia" w:ascii="宋体" w:hAnsi="宋体" w:cs="Times New Roman"/>
                <w:szCs w:val="21"/>
                <w:lang w:val="en-US" w:eastAsia="zh-CN"/>
              </w:rPr>
            </w:pPr>
            <w:r>
              <w:rPr>
                <w:rFonts w:hint="eastAsia" w:ascii="宋体" w:hAnsi="宋体" w:cs="Times New Roman"/>
                <w:szCs w:val="21"/>
              </w:rPr>
              <w:t>负责人讲目前没有发生顾客或外部供方财产丢失的情况；</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hint="eastAsia" w:ascii="宋体" w:hAnsi="宋体" w:cs="Times New Roman"/>
                <w:szCs w:val="21"/>
              </w:rPr>
            </w:pPr>
            <w:r>
              <w:rPr>
                <w:rFonts w:hint="eastAsia" w:ascii="宋体" w:hAnsi="宋体" w:cs="Times New Roman"/>
                <w:szCs w:val="21"/>
                <w:lang w:val="en-US" w:eastAsia="zh-CN"/>
              </w:rPr>
              <w:t>防护</w:t>
            </w:r>
          </w:p>
        </w:tc>
        <w:tc>
          <w:tcPr>
            <w:tcW w:w="960" w:type="dxa"/>
            <w:noWrap w:val="0"/>
            <w:vAlign w:val="top"/>
          </w:tcPr>
          <w:p>
            <w:pPr>
              <w:jc w:val="left"/>
              <w:rPr>
                <w:rFonts w:hint="eastAsia" w:ascii="宋体" w:hAnsi="宋体" w:cs="Times New Roman"/>
                <w:szCs w:val="21"/>
              </w:rPr>
            </w:pPr>
            <w:r>
              <w:rPr>
                <w:rFonts w:hint="eastAsia" w:ascii="宋体" w:hAnsi="宋体" w:cs="Times New Roman"/>
                <w:szCs w:val="21"/>
                <w:lang w:val="en-US" w:eastAsia="zh-CN"/>
              </w:rPr>
              <w:t>8.5.4</w:t>
            </w:r>
          </w:p>
        </w:tc>
        <w:tc>
          <w:tcPr>
            <w:tcW w:w="10535" w:type="dxa"/>
            <w:noWrap w:val="0"/>
            <w:vAlign w:val="top"/>
          </w:tcPr>
          <w:p>
            <w:pPr>
              <w:ind w:firstLine="420" w:firstLineChars="200"/>
              <w:rPr>
                <w:rFonts w:hint="eastAsia" w:ascii="宋体" w:hAnsi="宋体" w:cs="Times New Roman"/>
                <w:szCs w:val="21"/>
              </w:rPr>
            </w:pPr>
            <w:r>
              <w:rPr>
                <w:rFonts w:hint="eastAsia" w:ascii="宋体" w:hAnsi="宋体" w:cs="Times New Roman"/>
                <w:szCs w:val="21"/>
              </w:rPr>
              <w:t>--产品防护</w:t>
            </w:r>
          </w:p>
          <w:p>
            <w:pPr>
              <w:ind w:firstLine="420" w:firstLineChars="200"/>
              <w:rPr>
                <w:rFonts w:hint="default" w:ascii="宋体" w:hAnsi="宋体" w:cs="Times New Roman"/>
                <w:szCs w:val="21"/>
                <w:lang w:val="en-US" w:eastAsia="zh-CN"/>
              </w:rPr>
            </w:pPr>
            <w:r>
              <w:rPr>
                <w:rFonts w:hint="eastAsia" w:ascii="宋体" w:hAnsi="宋体" w:cs="Times New Roman"/>
                <w:szCs w:val="21"/>
                <w:lang w:eastAsia="zh-CN"/>
              </w:rPr>
              <w:t>对产品研发</w:t>
            </w:r>
            <w:r>
              <w:rPr>
                <w:rFonts w:hint="eastAsia" w:ascii="宋体" w:hAnsi="宋体" w:cs="Times New Roman"/>
                <w:szCs w:val="21"/>
              </w:rPr>
              <w:t>依据的文件或产生的资料、记录</w:t>
            </w:r>
            <w:r>
              <w:rPr>
                <w:rFonts w:hint="eastAsia" w:ascii="宋体" w:hAnsi="宋体" w:cs="Times New Roman"/>
                <w:szCs w:val="21"/>
                <w:lang w:eastAsia="zh-CN"/>
              </w:rPr>
              <w:t>进行保密管理；</w:t>
            </w:r>
            <w:r>
              <w:rPr>
                <w:rFonts w:hint="eastAsia" w:ascii="宋体" w:hAnsi="宋体" w:cs="Times New Roman"/>
                <w:szCs w:val="21"/>
                <w:lang w:val="en-US" w:eastAsia="zh-CN"/>
              </w:rPr>
              <w:t>纸质文件有专门文件柜上锁保存，软件信息加密保存，电脑等设备密码加密。</w:t>
            </w:r>
          </w:p>
          <w:p>
            <w:pPr>
              <w:ind w:firstLine="420" w:firstLineChars="200"/>
              <w:rPr>
                <w:rFonts w:hint="eastAsia" w:ascii="宋体" w:hAnsi="宋体" w:cs="Times New Roman"/>
                <w:szCs w:val="21"/>
              </w:rPr>
            </w:pPr>
            <w:r>
              <w:rPr>
                <w:rFonts w:hint="eastAsia" w:ascii="宋体" w:hAnsi="宋体" w:cs="Times New Roman"/>
                <w:szCs w:val="21"/>
                <w:lang w:val="en-US" w:eastAsia="zh-CN"/>
              </w:rPr>
              <w:t>对采购物资的</w:t>
            </w:r>
            <w:r>
              <w:rPr>
                <w:rFonts w:hint="eastAsia" w:ascii="宋体" w:hAnsi="宋体" w:cs="Times New Roman"/>
                <w:szCs w:val="21"/>
              </w:rPr>
              <w:t>搬运</w:t>
            </w:r>
            <w:r>
              <w:rPr>
                <w:rFonts w:hint="eastAsia" w:ascii="宋体" w:hAnsi="宋体" w:cs="Times New Roman"/>
                <w:szCs w:val="21"/>
                <w:lang w:eastAsia="zh-CN"/>
              </w:rPr>
              <w:t>主要为人工</w:t>
            </w:r>
            <w:r>
              <w:rPr>
                <w:rFonts w:hint="eastAsia" w:ascii="宋体" w:hAnsi="宋体" w:cs="Times New Roman"/>
                <w:szCs w:val="21"/>
              </w:rPr>
              <w:t>装卸，可以起到产品搬运的防护的作用。</w:t>
            </w:r>
          </w:p>
          <w:p>
            <w:pPr>
              <w:ind w:firstLine="420" w:firstLineChars="200"/>
              <w:rPr>
                <w:rFonts w:hint="eastAsia" w:ascii="宋体" w:hAnsi="宋体" w:cs="Times New Roman"/>
                <w:szCs w:val="21"/>
              </w:rPr>
            </w:pPr>
            <w:r>
              <w:rPr>
                <w:rFonts w:hint="eastAsia" w:ascii="宋体" w:hAnsi="宋体" w:cs="Times New Roman"/>
                <w:szCs w:val="21"/>
              </w:rPr>
              <w:t>现场查看</w:t>
            </w:r>
            <w:r>
              <w:rPr>
                <w:rFonts w:hint="eastAsia" w:ascii="宋体" w:hAnsi="宋体" w:cs="Times New Roman"/>
                <w:szCs w:val="21"/>
                <w:lang w:eastAsia="zh-CN"/>
              </w:rPr>
              <w:t>物资</w:t>
            </w:r>
            <w:r>
              <w:rPr>
                <w:rFonts w:hint="eastAsia" w:ascii="宋体" w:hAnsi="宋体" w:cs="Times New Roman"/>
                <w:szCs w:val="21"/>
              </w:rPr>
              <w:t>的包装</w:t>
            </w:r>
            <w:r>
              <w:rPr>
                <w:rFonts w:hint="eastAsia" w:ascii="宋体" w:hAnsi="宋体" w:cs="Times New Roman"/>
                <w:szCs w:val="21"/>
                <w:lang w:eastAsia="zh-CN"/>
              </w:rPr>
              <w:t>主要为原包装</w:t>
            </w:r>
            <w:r>
              <w:rPr>
                <w:rFonts w:hint="eastAsia" w:ascii="宋体" w:hAnsi="宋体" w:cs="Times New Roman"/>
                <w:szCs w:val="21"/>
              </w:rPr>
              <w:t>，能起到产品包装、运输、装卸的防护作用。</w:t>
            </w:r>
          </w:p>
          <w:p>
            <w:pPr>
              <w:ind w:firstLine="420" w:firstLineChars="200"/>
              <w:rPr>
                <w:rFonts w:hint="eastAsia" w:ascii="宋体" w:hAnsi="宋体" w:cs="Times New Roman"/>
                <w:szCs w:val="21"/>
              </w:rPr>
            </w:pPr>
            <w:r>
              <w:rPr>
                <w:rFonts w:hint="eastAsia" w:ascii="宋体" w:hAnsi="宋体" w:cs="Times New Roman"/>
                <w:szCs w:val="21"/>
              </w:rPr>
              <w:t>产品防护基本符合要求。</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hint="eastAsia" w:ascii="宋体" w:hAnsi="宋体" w:cs="Times New Roman"/>
                <w:szCs w:val="21"/>
              </w:rPr>
            </w:pPr>
            <w:r>
              <w:rPr>
                <w:rFonts w:hint="eastAsia" w:ascii="宋体" w:hAnsi="宋体" w:cs="Times New Roman"/>
                <w:szCs w:val="21"/>
                <w:lang w:val="en-US" w:eastAsia="zh-CN"/>
              </w:rPr>
              <w:t>交付后活动</w:t>
            </w:r>
          </w:p>
        </w:tc>
        <w:tc>
          <w:tcPr>
            <w:tcW w:w="960" w:type="dxa"/>
            <w:noWrap w:val="0"/>
            <w:vAlign w:val="top"/>
          </w:tcPr>
          <w:p>
            <w:pPr>
              <w:jc w:val="left"/>
              <w:rPr>
                <w:rFonts w:hint="eastAsia" w:ascii="宋体" w:hAnsi="宋体" w:cs="Times New Roman"/>
                <w:szCs w:val="21"/>
              </w:rPr>
            </w:pPr>
            <w:r>
              <w:rPr>
                <w:rFonts w:hint="eastAsia" w:ascii="宋体" w:hAnsi="宋体" w:cs="Times New Roman"/>
                <w:szCs w:val="21"/>
                <w:lang w:val="en-US" w:eastAsia="zh-CN"/>
              </w:rPr>
              <w:t>8.5.5</w:t>
            </w:r>
          </w:p>
        </w:tc>
        <w:tc>
          <w:tcPr>
            <w:tcW w:w="10535" w:type="dxa"/>
            <w:noWrap w:val="0"/>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公司明确产品和服务相关交付后活动的安排及管控要求，包括满足以下各项内容要求。如：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a）法律法规要求；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b）与产品和服务相关的潜在不期望的后果；</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c）其产品和服务的性质、用途和预期寿命；</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d）顾客要求；</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e）顾客反馈。</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此外，也包括：交付后活动可能含的担保条款所规定的相关活动，诸如合同规定的售后维护服务，软件硬件设备运行产生BUG的处理调试服务，以及回收或最终报废处置等附加服务等。</w:t>
            </w:r>
          </w:p>
          <w:p>
            <w:pPr>
              <w:ind w:firstLine="420" w:firstLineChars="200"/>
              <w:rPr>
                <w:rFonts w:hint="eastAsia" w:ascii="宋体" w:hAnsi="宋体" w:cs="Times New Roman"/>
                <w:szCs w:val="21"/>
              </w:rPr>
            </w:pPr>
            <w:r>
              <w:rPr>
                <w:rFonts w:hint="eastAsia" w:ascii="宋体" w:hAnsi="宋体" w:cs="Times New Roman"/>
                <w:szCs w:val="21"/>
                <w:lang w:val="en-US" w:eastAsia="zh-CN"/>
              </w:rPr>
              <w:t>--现场记录及沟通确认：已基本满足交付后活动的要求</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noWrap w:val="0"/>
            <w:vAlign w:val="top"/>
          </w:tcPr>
          <w:p>
            <w:pPr>
              <w:jc w:val="left"/>
              <w:rPr>
                <w:rFonts w:hint="eastAsia" w:ascii="宋体" w:hAnsi="宋体" w:cs="Times New Roman"/>
                <w:szCs w:val="21"/>
              </w:rPr>
            </w:pPr>
            <w:r>
              <w:rPr>
                <w:rFonts w:hint="eastAsia" w:ascii="宋体" w:hAnsi="宋体" w:cs="Times New Roman"/>
                <w:szCs w:val="21"/>
                <w:lang w:val="en-US" w:eastAsia="zh-CN"/>
              </w:rPr>
              <w:t>更改控制</w:t>
            </w:r>
          </w:p>
        </w:tc>
        <w:tc>
          <w:tcPr>
            <w:tcW w:w="960" w:type="dxa"/>
            <w:noWrap w:val="0"/>
            <w:vAlign w:val="top"/>
          </w:tcPr>
          <w:p>
            <w:pPr>
              <w:jc w:val="left"/>
              <w:rPr>
                <w:rFonts w:hint="eastAsia" w:ascii="宋体" w:hAnsi="宋体" w:cs="Times New Roman"/>
                <w:szCs w:val="21"/>
              </w:rPr>
            </w:pPr>
            <w:r>
              <w:rPr>
                <w:rFonts w:hint="eastAsia" w:ascii="宋体" w:hAnsi="宋体" w:cs="Times New Roman"/>
                <w:szCs w:val="21"/>
                <w:lang w:val="en-US" w:eastAsia="zh-CN"/>
              </w:rPr>
              <w:t>8.5.6</w:t>
            </w:r>
          </w:p>
        </w:tc>
        <w:tc>
          <w:tcPr>
            <w:tcW w:w="10535" w:type="dxa"/>
            <w:noWrap w:val="0"/>
            <w:vAlign w:val="top"/>
          </w:tcPr>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公司对研发和服务提供的更改管控要求予以明确规定：包括对其更改的评审、授权信息及需采取的措施等。</w:t>
            </w:r>
          </w:p>
          <w:p>
            <w:pPr>
              <w:ind w:firstLine="420" w:firstLineChars="200"/>
              <w:rPr>
                <w:rFonts w:hint="eastAsia" w:ascii="宋体" w:hAnsi="宋体" w:cs="Times New Roman"/>
                <w:szCs w:val="21"/>
              </w:rPr>
            </w:pPr>
            <w:r>
              <w:rPr>
                <w:rFonts w:hint="eastAsia" w:ascii="宋体" w:hAnsi="宋体" w:cs="Times New Roman"/>
                <w:szCs w:val="21"/>
                <w:lang w:val="en-US" w:eastAsia="zh-CN"/>
              </w:rPr>
              <w:t>--经查：体系运行至今，暂无研发和服务提供的更改情形。</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noWrap w:val="0"/>
            <w:vAlign w:val="top"/>
          </w:tcPr>
          <w:p>
            <w:pPr>
              <w:spacing w:line="360" w:lineRule="auto"/>
              <w:rPr>
                <w:rFonts w:ascii="宋体" w:hAnsi="宋体" w:cs="宋体"/>
                <w:szCs w:val="21"/>
              </w:rPr>
            </w:pPr>
            <w:r>
              <w:rPr>
                <w:rFonts w:hint="eastAsia" w:ascii="宋体" w:hAnsi="宋体" w:cs="新宋体"/>
                <w:szCs w:val="21"/>
              </w:rPr>
              <w:t>产品和服务放行；</w:t>
            </w:r>
          </w:p>
        </w:tc>
        <w:tc>
          <w:tcPr>
            <w:tcW w:w="960" w:type="dxa"/>
            <w:noWrap w:val="0"/>
            <w:vAlign w:val="top"/>
          </w:tcPr>
          <w:p>
            <w:pPr>
              <w:rPr>
                <w:rFonts w:ascii="宋体" w:hAnsi="宋体" w:cs="宋体"/>
                <w:b/>
                <w:szCs w:val="21"/>
              </w:rPr>
            </w:pPr>
            <w:r>
              <w:rPr>
                <w:rFonts w:hint="eastAsia" w:ascii="宋体" w:hAnsi="宋体" w:cs="Times New Roman"/>
                <w:szCs w:val="21"/>
                <w:lang w:val="en-US" w:eastAsia="zh-CN"/>
              </w:rPr>
              <w:t>8.6</w:t>
            </w:r>
          </w:p>
        </w:tc>
        <w:tc>
          <w:tcPr>
            <w:tcW w:w="10535" w:type="dxa"/>
            <w:noWrap w:val="0"/>
            <w:vAlign w:val="top"/>
          </w:tcPr>
          <w:p>
            <w:pPr>
              <w:ind w:firstLine="420" w:firstLineChars="200"/>
              <w:rPr>
                <w:rFonts w:hint="eastAsia" w:ascii="宋体" w:hAnsi="宋体" w:cs="Times New Roman"/>
                <w:szCs w:val="21"/>
                <w:lang w:val="en-US" w:eastAsia="zh-CN"/>
              </w:rPr>
            </w:pPr>
            <w:r>
              <w:rPr>
                <w:rFonts w:hint="eastAsia" w:ascii="黑体" w:hAnsi="黑体" w:eastAsia="黑体" w:cs="宋体"/>
                <w:szCs w:val="21"/>
                <w:lang w:val="en-US" w:eastAsia="zh-CN"/>
              </w:rPr>
              <w:t>◆</w:t>
            </w:r>
            <w:r>
              <w:rPr>
                <w:rFonts w:hint="eastAsia" w:ascii="宋体" w:hAnsi="宋体" w:cs="Times New Roman"/>
                <w:szCs w:val="21"/>
                <w:lang w:val="en-US" w:eastAsia="zh-CN"/>
              </w:rPr>
              <w:t>公司为验证产品和服务的要求是否得到满足对需实施监视和检验的阶段、过程、项目及记录等予以规定，查见公司检验规范规定了物料、设计研发过程、硬件组装过程所有产品的检验方法、标准。</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公司对特殊放行或紧急放行情况予以界定，原则上，一般情况下不许特殊放行或紧急放行；若特殊情况下，要实施紧急放行时，一定要得到技术研发部许可、公司总经理批准，适用时得到顾客的批准后方可实施。体系运行至今尚未发生特殊放行或紧急放行的情况。</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lang w:val="en-US" w:eastAsia="zh-CN"/>
              </w:rPr>
              <w:t>◆公司明确对各阶段产品和服务的放行均须实施必要的记录并保留。详见如下输入、过程及输出检验证据抽样</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1、原材料检验控制：</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经询问公司采购产品主要根据需求电话给供方以物流形式送到顾客现场，公司根据项目设备清单对相关产品的数量、包装、规格型号进行检验。最终以产品验收报告为准；</w:t>
            </w:r>
          </w:p>
          <w:p>
            <w:pPr>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公司日常采购产品主要为办公用品、耗材等，对其数量、包装、规格型号进行验证，详见8.4.2条款；</w:t>
            </w:r>
          </w:p>
          <w:p>
            <w:pPr>
              <w:pStyle w:val="4"/>
              <w:numPr>
                <w:ilvl w:val="0"/>
                <w:numId w:val="5"/>
              </w:numPr>
              <w:ind w:left="0" w:leftChars="0" w:firstLine="0" w:firstLineChars="0"/>
              <w:rPr>
                <w:rFonts w:hint="eastAsia"/>
                <w:lang w:val="en-US" w:eastAsia="zh-CN"/>
              </w:rPr>
            </w:pPr>
            <w:r>
              <w:rPr>
                <w:rFonts w:hint="eastAsia"/>
                <w:lang w:val="en-US" w:eastAsia="zh-CN"/>
              </w:rPr>
              <w:t>过程检验测试</w:t>
            </w:r>
            <w:bookmarkStart w:id="1" w:name="_Toc3526"/>
          </w:p>
          <w:p>
            <w:pPr>
              <w:pStyle w:val="4"/>
              <w:numPr>
                <w:ilvl w:val="0"/>
                <w:numId w:val="0"/>
              </w:numPr>
              <w:ind w:leftChars="0"/>
              <w:rPr>
                <w:b w:val="0"/>
                <w:bCs/>
                <w:sz w:val="21"/>
                <w:szCs w:val="21"/>
              </w:rPr>
            </w:pPr>
            <w:r>
              <w:rPr>
                <w:rFonts w:hint="eastAsia"/>
                <w:b w:val="0"/>
                <w:bCs/>
                <w:sz w:val="21"/>
                <w:szCs w:val="21"/>
                <w:lang w:val="en-US" w:eastAsia="zh-CN"/>
              </w:rPr>
              <w:t>1）</w:t>
            </w:r>
            <w:r>
              <w:rPr>
                <w:rFonts w:hint="eastAsia"/>
                <w:b w:val="0"/>
                <w:bCs/>
                <w:sz w:val="21"/>
                <w:szCs w:val="21"/>
              </w:rPr>
              <w:t>一体化</w:t>
            </w:r>
            <w:r>
              <w:rPr>
                <w:b w:val="0"/>
                <w:bCs/>
                <w:sz w:val="21"/>
                <w:szCs w:val="21"/>
              </w:rPr>
              <w:t>电缆和组合式电缆振动参数对比</w:t>
            </w:r>
            <w:bookmarkEnd w:id="1"/>
          </w:p>
          <w:p>
            <w:pPr>
              <w:rPr>
                <w:sz w:val="21"/>
                <w:szCs w:val="21"/>
              </w:rPr>
            </w:pPr>
            <w:r>
              <w:rPr>
                <w:rFonts w:hint="eastAsia"/>
                <w:sz w:val="21"/>
                <w:szCs w:val="21"/>
              </w:rPr>
              <w:t>A:一体式</w:t>
            </w:r>
            <w:r>
              <w:rPr>
                <w:sz w:val="21"/>
                <w:szCs w:val="21"/>
              </w:rPr>
              <w:t>接头测试图</w:t>
            </w:r>
          </w:p>
          <w:p>
            <w:pPr>
              <w:rPr>
                <w:sz w:val="21"/>
                <w:szCs w:val="21"/>
              </w:rPr>
            </w:pPr>
            <w:r>
              <w:rPr>
                <w:sz w:val="21"/>
                <w:szCs w:val="21"/>
              </w:rPr>
              <w:drawing>
                <wp:inline distT="0" distB="0" distL="114300" distR="114300">
                  <wp:extent cx="3924300" cy="2075815"/>
                  <wp:effectExtent l="0" t="0" r="0"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3924300" cy="2075815"/>
                          </a:xfrm>
                          <a:prstGeom prst="rect">
                            <a:avLst/>
                          </a:prstGeom>
                          <a:noFill/>
                          <a:ln>
                            <a:noFill/>
                          </a:ln>
                        </pic:spPr>
                      </pic:pic>
                    </a:graphicData>
                  </a:graphic>
                </wp:inline>
              </w:drawing>
            </w:r>
          </w:p>
          <w:p>
            <w:pPr>
              <w:rPr>
                <w:sz w:val="21"/>
                <w:szCs w:val="21"/>
              </w:rPr>
            </w:pPr>
            <w:r>
              <w:rPr>
                <w:rFonts w:hint="eastAsia"/>
                <w:sz w:val="21"/>
                <w:szCs w:val="21"/>
              </w:rPr>
              <w:t>B</w:t>
            </w:r>
            <w:r>
              <w:rPr>
                <w:sz w:val="21"/>
                <w:szCs w:val="21"/>
              </w:rPr>
              <w:t>:</w:t>
            </w:r>
            <w:r>
              <w:rPr>
                <w:rFonts w:hint="eastAsia"/>
                <w:sz w:val="21"/>
                <w:szCs w:val="21"/>
              </w:rPr>
              <w:t>组合</w:t>
            </w:r>
            <w:r>
              <w:rPr>
                <w:sz w:val="21"/>
                <w:szCs w:val="21"/>
              </w:rPr>
              <w:t>式测试</w:t>
            </w:r>
          </w:p>
          <w:p>
            <w:pPr>
              <w:rPr>
                <w:sz w:val="21"/>
                <w:szCs w:val="21"/>
              </w:rPr>
            </w:pPr>
            <w:r>
              <w:rPr>
                <w:rFonts w:hint="eastAsia"/>
                <w:sz w:val="21"/>
                <w:szCs w:val="21"/>
              </w:rPr>
              <w:drawing>
                <wp:inline distT="0" distB="0" distL="114300" distR="114300">
                  <wp:extent cx="3837305" cy="2051050"/>
                  <wp:effectExtent l="0" t="0" r="1079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3837305" cy="2051050"/>
                          </a:xfrm>
                          <a:prstGeom prst="rect">
                            <a:avLst/>
                          </a:prstGeom>
                          <a:noFill/>
                          <a:ln>
                            <a:noFill/>
                          </a:ln>
                        </pic:spPr>
                      </pic:pic>
                    </a:graphicData>
                  </a:graphic>
                </wp:inline>
              </w:drawing>
            </w:r>
          </w:p>
          <w:p>
            <w:pPr>
              <w:rPr>
                <w:sz w:val="21"/>
                <w:szCs w:val="21"/>
              </w:rPr>
            </w:pPr>
            <w:r>
              <w:rPr>
                <w:rFonts w:hint="eastAsia"/>
                <w:sz w:val="21"/>
                <w:szCs w:val="21"/>
              </w:rPr>
              <w:t>分析：</w:t>
            </w:r>
            <w:r>
              <w:rPr>
                <w:sz w:val="21"/>
                <w:szCs w:val="21"/>
              </w:rPr>
              <w:t>一体化电缆的畸变小</w:t>
            </w:r>
            <w:r>
              <w:rPr>
                <w:rFonts w:hint="eastAsia"/>
                <w:sz w:val="21"/>
                <w:szCs w:val="21"/>
              </w:rPr>
              <w:t>10</w:t>
            </w:r>
            <w:r>
              <w:rPr>
                <w:sz w:val="21"/>
                <w:szCs w:val="21"/>
              </w:rPr>
              <w:t>%</w:t>
            </w:r>
          </w:p>
          <w:p>
            <w:pPr>
              <w:widowControl/>
              <w:jc w:val="left"/>
              <w:rPr>
                <w:b w:val="0"/>
                <w:bCs/>
                <w:sz w:val="21"/>
                <w:szCs w:val="21"/>
              </w:rPr>
            </w:pPr>
            <w:bookmarkStart w:id="2" w:name="_Toc31424"/>
            <w:r>
              <w:rPr>
                <w:rFonts w:hint="eastAsia"/>
                <w:b w:val="0"/>
                <w:bCs/>
                <w:sz w:val="21"/>
                <w:szCs w:val="21"/>
                <w:lang w:val="en-US" w:eastAsia="zh-CN"/>
              </w:rPr>
              <w:t>2）</w:t>
            </w:r>
            <w:r>
              <w:rPr>
                <w:rFonts w:hint="eastAsia"/>
                <w:b w:val="0"/>
                <w:bCs/>
                <w:sz w:val="21"/>
                <w:szCs w:val="21"/>
              </w:rPr>
              <w:t>重钢现场</w:t>
            </w:r>
            <w:r>
              <w:rPr>
                <w:b w:val="0"/>
                <w:bCs/>
                <w:sz w:val="21"/>
                <w:szCs w:val="21"/>
              </w:rPr>
              <w:t>返回</w:t>
            </w:r>
            <w:r>
              <w:rPr>
                <w:rFonts w:hint="eastAsia"/>
                <w:b w:val="0"/>
                <w:bCs/>
                <w:sz w:val="21"/>
                <w:szCs w:val="21"/>
              </w:rPr>
              <w:t>传感</w:t>
            </w:r>
            <w:r>
              <w:rPr>
                <w:b w:val="0"/>
                <w:bCs/>
                <w:sz w:val="21"/>
                <w:szCs w:val="21"/>
              </w:rPr>
              <w:t>器测试</w:t>
            </w:r>
            <w:bookmarkEnd w:id="2"/>
          </w:p>
          <w:p>
            <w:pPr>
              <w:rPr>
                <w:sz w:val="21"/>
                <w:szCs w:val="21"/>
              </w:rPr>
            </w:pPr>
            <w:r>
              <w:rPr>
                <w:rFonts w:hint="eastAsia"/>
                <w:sz w:val="21"/>
                <w:szCs w:val="21"/>
              </w:rPr>
              <w:drawing>
                <wp:inline distT="0" distB="0" distL="114300" distR="114300">
                  <wp:extent cx="3794125" cy="2036445"/>
                  <wp:effectExtent l="0" t="0" r="15875" b="190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9"/>
                          <a:stretch>
                            <a:fillRect/>
                          </a:stretch>
                        </pic:blipFill>
                        <pic:spPr>
                          <a:xfrm>
                            <a:off x="0" y="0"/>
                            <a:ext cx="3794125" cy="2036445"/>
                          </a:xfrm>
                          <a:prstGeom prst="rect">
                            <a:avLst/>
                          </a:prstGeom>
                          <a:noFill/>
                          <a:ln>
                            <a:noFill/>
                          </a:ln>
                        </pic:spPr>
                      </pic:pic>
                    </a:graphicData>
                  </a:graphic>
                </wp:inline>
              </w:drawing>
            </w:r>
          </w:p>
          <w:p>
            <w:pPr>
              <w:rPr>
                <w:sz w:val="21"/>
                <w:szCs w:val="21"/>
              </w:rPr>
            </w:pPr>
            <w:r>
              <w:rPr>
                <w:rFonts w:hint="eastAsia"/>
                <w:sz w:val="21"/>
                <w:szCs w:val="21"/>
              </w:rPr>
              <w:drawing>
                <wp:inline distT="0" distB="0" distL="114300" distR="114300">
                  <wp:extent cx="4071620" cy="2079625"/>
                  <wp:effectExtent l="0" t="0" r="5080" b="158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4071620" cy="2079625"/>
                          </a:xfrm>
                          <a:prstGeom prst="rect">
                            <a:avLst/>
                          </a:prstGeom>
                          <a:noFill/>
                          <a:ln>
                            <a:noFill/>
                          </a:ln>
                        </pic:spPr>
                      </pic:pic>
                    </a:graphicData>
                  </a:graphic>
                </wp:inline>
              </w:drawing>
            </w:r>
          </w:p>
          <w:p>
            <w:pPr>
              <w:rPr>
                <w:sz w:val="21"/>
                <w:szCs w:val="21"/>
              </w:rPr>
            </w:pPr>
            <w:r>
              <w:rPr>
                <w:rFonts w:hint="eastAsia"/>
                <w:sz w:val="21"/>
                <w:szCs w:val="21"/>
              </w:rPr>
              <w:drawing>
                <wp:inline distT="0" distB="0" distL="114300" distR="114300">
                  <wp:extent cx="4079240" cy="2190115"/>
                  <wp:effectExtent l="0" t="0" r="16510" b="63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1"/>
                          <a:stretch>
                            <a:fillRect/>
                          </a:stretch>
                        </pic:blipFill>
                        <pic:spPr>
                          <a:xfrm>
                            <a:off x="0" y="0"/>
                            <a:ext cx="4079240" cy="2190115"/>
                          </a:xfrm>
                          <a:prstGeom prst="rect">
                            <a:avLst/>
                          </a:prstGeom>
                          <a:noFill/>
                          <a:ln>
                            <a:noFill/>
                          </a:ln>
                        </pic:spPr>
                      </pic:pic>
                    </a:graphicData>
                  </a:graphic>
                </wp:inline>
              </w:drawing>
            </w:r>
          </w:p>
          <w:p>
            <w:pPr>
              <w:pStyle w:val="21"/>
              <w:ind w:left="0" w:leftChars="0" w:firstLine="0" w:firstLineChars="0"/>
              <w:rPr>
                <w:sz w:val="21"/>
                <w:szCs w:val="21"/>
              </w:rPr>
            </w:pPr>
            <w:r>
              <w:rPr>
                <w:rFonts w:hint="eastAsia"/>
                <w:sz w:val="21"/>
                <w:szCs w:val="21"/>
              </w:rPr>
              <w:t>分析</w:t>
            </w:r>
            <w:r>
              <w:rPr>
                <w:sz w:val="21"/>
                <w:szCs w:val="21"/>
              </w:rPr>
              <w:t>：</w:t>
            </w:r>
          </w:p>
          <w:p>
            <w:pPr>
              <w:pStyle w:val="21"/>
              <w:ind w:left="0" w:leftChars="0" w:firstLine="0" w:firstLineChars="0"/>
              <w:rPr>
                <w:sz w:val="21"/>
                <w:szCs w:val="21"/>
              </w:rPr>
            </w:pPr>
            <w:r>
              <w:rPr>
                <w:rFonts w:hint="eastAsia"/>
                <w:sz w:val="21"/>
                <w:szCs w:val="21"/>
              </w:rPr>
              <w:t>重钢传感器</w:t>
            </w:r>
            <w:r>
              <w:rPr>
                <w:sz w:val="21"/>
                <w:szCs w:val="21"/>
              </w:rPr>
              <w:t>是正常的</w:t>
            </w:r>
            <w:r>
              <w:rPr>
                <w:rFonts w:hint="eastAsia"/>
                <w:sz w:val="21"/>
                <w:szCs w:val="21"/>
              </w:rPr>
              <w:t>，</w:t>
            </w:r>
            <w:r>
              <w:rPr>
                <w:sz w:val="21"/>
                <w:szCs w:val="21"/>
              </w:rPr>
              <w:t>但是重钢的传感器是</w:t>
            </w:r>
            <w:r>
              <w:rPr>
                <w:rFonts w:hint="eastAsia"/>
                <w:sz w:val="21"/>
                <w:szCs w:val="21"/>
              </w:rPr>
              <w:t>500</w:t>
            </w:r>
            <w:r>
              <w:rPr>
                <w:sz w:val="21"/>
                <w:szCs w:val="21"/>
              </w:rPr>
              <w:t>Mv</w:t>
            </w:r>
            <w:r>
              <w:rPr>
                <w:rFonts w:hint="eastAsia"/>
                <w:sz w:val="21"/>
                <w:szCs w:val="21"/>
              </w:rPr>
              <w:t>/</w:t>
            </w:r>
            <w:r>
              <w:rPr>
                <w:sz w:val="21"/>
                <w:szCs w:val="21"/>
              </w:rPr>
              <w:t>g的，这边</w:t>
            </w:r>
            <w:r>
              <w:rPr>
                <w:rFonts w:hint="eastAsia"/>
                <w:sz w:val="21"/>
                <w:szCs w:val="21"/>
              </w:rPr>
              <w:t>变送器</w:t>
            </w:r>
            <w:r>
              <w:rPr>
                <w:sz w:val="21"/>
                <w:szCs w:val="21"/>
              </w:rPr>
              <w:t>是</w:t>
            </w:r>
            <w:r>
              <w:rPr>
                <w:rFonts w:hint="eastAsia"/>
                <w:sz w:val="21"/>
                <w:szCs w:val="21"/>
              </w:rPr>
              <w:t>按照100</w:t>
            </w:r>
            <w:r>
              <w:rPr>
                <w:sz w:val="21"/>
                <w:szCs w:val="21"/>
              </w:rPr>
              <w:t>Mv</w:t>
            </w:r>
            <w:r>
              <w:rPr>
                <w:rFonts w:hint="eastAsia"/>
                <w:sz w:val="21"/>
                <w:szCs w:val="21"/>
              </w:rPr>
              <w:t>/</w:t>
            </w:r>
            <w:r>
              <w:rPr>
                <w:sz w:val="21"/>
                <w:szCs w:val="21"/>
              </w:rPr>
              <w:t>g</w:t>
            </w:r>
            <w:r>
              <w:rPr>
                <w:rFonts w:hint="eastAsia"/>
                <w:sz w:val="21"/>
                <w:szCs w:val="21"/>
              </w:rPr>
              <w:t>计算</w:t>
            </w:r>
            <w:r>
              <w:rPr>
                <w:sz w:val="21"/>
                <w:szCs w:val="21"/>
              </w:rPr>
              <w:t>的，所以测量值大了</w:t>
            </w:r>
            <w:r>
              <w:rPr>
                <w:rFonts w:hint="eastAsia"/>
                <w:sz w:val="21"/>
                <w:szCs w:val="21"/>
              </w:rPr>
              <w:t>5倍</w:t>
            </w:r>
            <w:r>
              <w:rPr>
                <w:sz w:val="21"/>
                <w:szCs w:val="21"/>
              </w:rPr>
              <w:t>；</w:t>
            </w:r>
            <w:bookmarkStart w:id="3" w:name="_Toc10640"/>
          </w:p>
          <w:p>
            <w:pPr>
              <w:pStyle w:val="21"/>
              <w:ind w:left="0" w:leftChars="0" w:firstLine="0" w:firstLineChars="0"/>
              <w:rPr>
                <w:b w:val="0"/>
                <w:bCs/>
                <w:sz w:val="21"/>
                <w:szCs w:val="21"/>
              </w:rPr>
            </w:pPr>
            <w:r>
              <w:rPr>
                <w:rFonts w:hint="eastAsia"/>
                <w:b w:val="0"/>
                <w:bCs/>
                <w:sz w:val="21"/>
                <w:szCs w:val="21"/>
                <w:lang w:val="en-US" w:eastAsia="zh-CN"/>
              </w:rPr>
              <w:t>3）</w:t>
            </w:r>
            <w:r>
              <w:rPr>
                <w:rFonts w:hint="eastAsia"/>
                <w:b w:val="0"/>
                <w:bCs/>
                <w:sz w:val="21"/>
                <w:szCs w:val="21"/>
              </w:rPr>
              <w:t>C</w:t>
            </w:r>
            <w:r>
              <w:rPr>
                <w:b w:val="0"/>
                <w:bCs/>
                <w:sz w:val="21"/>
                <w:szCs w:val="21"/>
              </w:rPr>
              <w:t>MSONE</w:t>
            </w:r>
            <w:r>
              <w:rPr>
                <w:rFonts w:hint="eastAsia"/>
                <w:b w:val="0"/>
                <w:bCs/>
                <w:sz w:val="21"/>
                <w:szCs w:val="21"/>
              </w:rPr>
              <w:t>传感器</w:t>
            </w:r>
            <w:r>
              <w:rPr>
                <w:b w:val="0"/>
                <w:bCs/>
                <w:sz w:val="21"/>
                <w:szCs w:val="21"/>
              </w:rPr>
              <w:t>测试</w:t>
            </w:r>
            <w:bookmarkEnd w:id="3"/>
          </w:p>
          <w:p>
            <w:pPr>
              <w:pStyle w:val="21"/>
              <w:ind w:left="0" w:leftChars="0" w:firstLine="0" w:firstLineChars="0"/>
            </w:pPr>
            <w:r>
              <w:rPr>
                <w:rFonts w:hint="eastAsia"/>
              </w:rPr>
              <w:t>一、传感器</w:t>
            </w:r>
            <w:r>
              <w:t>编码</w:t>
            </w:r>
            <w:r>
              <w:rPr>
                <w:rFonts w:hint="eastAsia"/>
              </w:rPr>
              <w:t xml:space="preserve">    </w:t>
            </w:r>
            <w:r>
              <w:t>SN:12061</w:t>
            </w:r>
          </w:p>
          <w:p>
            <w:r>
              <w:drawing>
                <wp:inline distT="0" distB="0" distL="114300" distR="114300">
                  <wp:extent cx="4462145" cy="2294890"/>
                  <wp:effectExtent l="0" t="0" r="14605" b="1016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2"/>
                          <a:stretch>
                            <a:fillRect/>
                          </a:stretch>
                        </pic:blipFill>
                        <pic:spPr>
                          <a:xfrm>
                            <a:off x="0" y="0"/>
                            <a:ext cx="4462145" cy="2294890"/>
                          </a:xfrm>
                          <a:prstGeom prst="rect">
                            <a:avLst/>
                          </a:prstGeom>
                          <a:noFill/>
                          <a:ln>
                            <a:noFill/>
                          </a:ln>
                        </pic:spPr>
                      </pic:pic>
                    </a:graphicData>
                  </a:graphic>
                </wp:inline>
              </w:drawing>
            </w:r>
          </w:p>
          <w:p>
            <w:pPr>
              <w:pStyle w:val="21"/>
              <w:ind w:left="0" w:leftChars="0" w:firstLine="0" w:firstLineChars="0"/>
            </w:pPr>
            <w:r>
              <w:rPr>
                <w:rFonts w:hint="eastAsia"/>
              </w:rPr>
              <w:t>二</w:t>
            </w:r>
            <w:r>
              <w:t>、</w:t>
            </w:r>
            <w:r>
              <w:rPr>
                <w:rFonts w:hint="eastAsia"/>
              </w:rPr>
              <w:t>传感器</w:t>
            </w:r>
            <w:r>
              <w:t>编码</w:t>
            </w:r>
            <w:r>
              <w:rPr>
                <w:rFonts w:hint="eastAsia"/>
              </w:rPr>
              <w:t xml:space="preserve">    </w:t>
            </w:r>
            <w:r>
              <w:t>SN:12066</w:t>
            </w:r>
          </w:p>
          <w:p>
            <w:r>
              <w:drawing>
                <wp:inline distT="0" distB="0" distL="114300" distR="114300">
                  <wp:extent cx="4556125" cy="2410460"/>
                  <wp:effectExtent l="0" t="0" r="15875" b="889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3"/>
                          <a:stretch>
                            <a:fillRect/>
                          </a:stretch>
                        </pic:blipFill>
                        <pic:spPr>
                          <a:xfrm>
                            <a:off x="0" y="0"/>
                            <a:ext cx="4556125" cy="2410460"/>
                          </a:xfrm>
                          <a:prstGeom prst="rect">
                            <a:avLst/>
                          </a:prstGeom>
                          <a:noFill/>
                          <a:ln>
                            <a:noFill/>
                          </a:ln>
                        </pic:spPr>
                      </pic:pic>
                    </a:graphicData>
                  </a:graphic>
                </wp:inline>
              </w:drawing>
            </w:r>
          </w:p>
          <w:p>
            <w:pPr>
              <w:pStyle w:val="21"/>
              <w:ind w:left="0" w:leftChars="0" w:firstLine="0" w:firstLineChars="0"/>
            </w:pPr>
            <w:r>
              <w:rPr>
                <w:rFonts w:hint="eastAsia"/>
              </w:rPr>
              <w:t>三</w:t>
            </w:r>
            <w:r>
              <w:t>、</w:t>
            </w:r>
            <w:r>
              <w:rPr>
                <w:rFonts w:hint="eastAsia"/>
              </w:rPr>
              <w:t>传感器</w:t>
            </w:r>
            <w:r>
              <w:t>编码</w:t>
            </w:r>
            <w:r>
              <w:rPr>
                <w:rFonts w:hint="eastAsia"/>
              </w:rPr>
              <w:t xml:space="preserve">    </w:t>
            </w:r>
            <w:r>
              <w:t>SN:12080</w:t>
            </w:r>
          </w:p>
          <w:p>
            <w:r>
              <w:drawing>
                <wp:inline distT="0" distB="0" distL="114300" distR="114300">
                  <wp:extent cx="3993515" cy="2061845"/>
                  <wp:effectExtent l="0" t="0" r="6985" b="1460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4"/>
                          <a:stretch>
                            <a:fillRect/>
                          </a:stretch>
                        </pic:blipFill>
                        <pic:spPr>
                          <a:xfrm>
                            <a:off x="0" y="0"/>
                            <a:ext cx="3993515" cy="2061845"/>
                          </a:xfrm>
                          <a:prstGeom prst="rect">
                            <a:avLst/>
                          </a:prstGeom>
                          <a:noFill/>
                          <a:ln>
                            <a:noFill/>
                          </a:ln>
                        </pic:spPr>
                      </pic:pic>
                    </a:graphicData>
                  </a:graphic>
                </wp:inline>
              </w:drawing>
            </w:r>
          </w:p>
          <w:p>
            <w:pPr>
              <w:pStyle w:val="21"/>
              <w:ind w:left="0" w:leftChars="0" w:firstLine="0" w:firstLineChars="0"/>
            </w:pPr>
            <w:r>
              <w:rPr>
                <w:rFonts w:hint="eastAsia"/>
              </w:rPr>
              <w:t>四</w:t>
            </w:r>
            <w:r>
              <w:t>、</w:t>
            </w:r>
            <w:r>
              <w:rPr>
                <w:rFonts w:hint="eastAsia"/>
              </w:rPr>
              <w:t>传感器</w:t>
            </w:r>
            <w:r>
              <w:t>编码</w:t>
            </w:r>
            <w:r>
              <w:rPr>
                <w:rFonts w:hint="eastAsia"/>
              </w:rPr>
              <w:t xml:space="preserve">    </w:t>
            </w:r>
            <w:r>
              <w:t>SN:12062</w:t>
            </w:r>
          </w:p>
          <w:p>
            <w:r>
              <w:rPr>
                <w:rFonts w:hint="eastAsia"/>
              </w:rPr>
              <w:drawing>
                <wp:inline distT="0" distB="0" distL="114300" distR="114300">
                  <wp:extent cx="3966845" cy="2492375"/>
                  <wp:effectExtent l="0" t="0" r="14605" b="317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15"/>
                          <a:stretch>
                            <a:fillRect/>
                          </a:stretch>
                        </pic:blipFill>
                        <pic:spPr>
                          <a:xfrm>
                            <a:off x="0" y="0"/>
                            <a:ext cx="3966845" cy="2492375"/>
                          </a:xfrm>
                          <a:prstGeom prst="rect">
                            <a:avLst/>
                          </a:prstGeom>
                          <a:noFill/>
                          <a:ln>
                            <a:noFill/>
                          </a:ln>
                        </pic:spPr>
                      </pic:pic>
                    </a:graphicData>
                  </a:graphic>
                </wp:inline>
              </w:drawing>
            </w:r>
          </w:p>
          <w:p>
            <w:pPr>
              <w:pStyle w:val="21"/>
              <w:ind w:left="0" w:leftChars="0" w:firstLine="0" w:firstLineChars="0"/>
            </w:pPr>
            <w:r>
              <w:rPr>
                <w:rFonts w:hint="eastAsia"/>
              </w:rPr>
              <w:t>五</w:t>
            </w:r>
            <w:r>
              <w:t>、</w:t>
            </w:r>
            <w:r>
              <w:rPr>
                <w:rFonts w:hint="eastAsia"/>
              </w:rPr>
              <w:t>传感器</w:t>
            </w:r>
            <w:r>
              <w:t>编码</w:t>
            </w:r>
            <w:r>
              <w:rPr>
                <w:rFonts w:hint="eastAsia"/>
              </w:rPr>
              <w:t xml:space="preserve">    </w:t>
            </w:r>
            <w:r>
              <w:t>SN:12064</w:t>
            </w:r>
          </w:p>
          <w:p>
            <w:r>
              <w:drawing>
                <wp:inline distT="0" distB="0" distL="114300" distR="114300">
                  <wp:extent cx="3759200" cy="2373630"/>
                  <wp:effectExtent l="0" t="0" r="12700" b="762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6"/>
                          <a:stretch>
                            <a:fillRect/>
                          </a:stretch>
                        </pic:blipFill>
                        <pic:spPr>
                          <a:xfrm>
                            <a:off x="0" y="0"/>
                            <a:ext cx="3759200" cy="2373630"/>
                          </a:xfrm>
                          <a:prstGeom prst="rect">
                            <a:avLst/>
                          </a:prstGeom>
                          <a:noFill/>
                          <a:ln>
                            <a:noFill/>
                          </a:ln>
                        </pic:spPr>
                      </pic:pic>
                    </a:graphicData>
                  </a:graphic>
                </wp:inline>
              </w:drawing>
            </w:r>
          </w:p>
          <w:p>
            <w:pPr>
              <w:pStyle w:val="21"/>
              <w:ind w:left="0" w:leftChars="0" w:firstLine="0" w:firstLineChars="0"/>
            </w:pPr>
            <w:r>
              <w:rPr>
                <w:rFonts w:hint="eastAsia"/>
              </w:rPr>
              <w:t>六</w:t>
            </w:r>
            <w:r>
              <w:t>、</w:t>
            </w:r>
            <w:r>
              <w:rPr>
                <w:rFonts w:hint="eastAsia"/>
              </w:rPr>
              <w:t>传感器</w:t>
            </w:r>
            <w:r>
              <w:t>编码</w:t>
            </w:r>
            <w:r>
              <w:rPr>
                <w:rFonts w:hint="eastAsia"/>
              </w:rPr>
              <w:t xml:space="preserve">    </w:t>
            </w:r>
            <w:r>
              <w:t>SN:12065</w:t>
            </w:r>
          </w:p>
          <w:p>
            <w:r>
              <w:rPr>
                <w:rFonts w:hint="eastAsia"/>
              </w:rPr>
              <w:drawing>
                <wp:inline distT="0" distB="0" distL="114300" distR="114300">
                  <wp:extent cx="3463290" cy="2282190"/>
                  <wp:effectExtent l="0" t="0" r="3810" b="381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17"/>
                          <a:stretch>
                            <a:fillRect/>
                          </a:stretch>
                        </pic:blipFill>
                        <pic:spPr>
                          <a:xfrm>
                            <a:off x="0" y="0"/>
                            <a:ext cx="3463290" cy="2282190"/>
                          </a:xfrm>
                          <a:prstGeom prst="rect">
                            <a:avLst/>
                          </a:prstGeom>
                          <a:noFill/>
                          <a:ln>
                            <a:noFill/>
                          </a:ln>
                        </pic:spPr>
                      </pic:pic>
                    </a:graphicData>
                  </a:graphic>
                </wp:inline>
              </w:drawing>
            </w:r>
          </w:p>
          <w:p>
            <w:r>
              <w:rPr>
                <w:rFonts w:hint="eastAsia"/>
              </w:rPr>
              <w:t>七</w:t>
            </w:r>
            <w:r>
              <w:t>、</w:t>
            </w:r>
            <w:r>
              <w:rPr>
                <w:rFonts w:hint="eastAsia"/>
              </w:rPr>
              <w:t>传感器</w:t>
            </w:r>
            <w:r>
              <w:t>编码</w:t>
            </w:r>
            <w:r>
              <w:rPr>
                <w:rFonts w:hint="eastAsia"/>
              </w:rPr>
              <w:t xml:space="preserve">    </w:t>
            </w:r>
            <w:r>
              <w:t>SN:12060</w:t>
            </w:r>
          </w:p>
          <w:p>
            <w:r>
              <w:rPr>
                <w:rFonts w:hint="eastAsia"/>
              </w:rPr>
              <w:drawing>
                <wp:inline distT="0" distB="0" distL="114300" distR="114300">
                  <wp:extent cx="3500755" cy="2352675"/>
                  <wp:effectExtent l="0" t="0" r="4445" b="9525"/>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18"/>
                          <a:stretch>
                            <a:fillRect/>
                          </a:stretch>
                        </pic:blipFill>
                        <pic:spPr>
                          <a:xfrm>
                            <a:off x="0" y="0"/>
                            <a:ext cx="3500755" cy="2352675"/>
                          </a:xfrm>
                          <a:prstGeom prst="rect">
                            <a:avLst/>
                          </a:prstGeom>
                          <a:noFill/>
                          <a:ln>
                            <a:noFill/>
                          </a:ln>
                        </pic:spPr>
                      </pic:pic>
                    </a:graphicData>
                  </a:graphic>
                </wp:inline>
              </w:drawing>
            </w:r>
          </w:p>
          <w:p>
            <w:r>
              <w:rPr>
                <w:rFonts w:hint="eastAsia"/>
              </w:rPr>
              <w:t>分析</w:t>
            </w:r>
            <w:r>
              <w:t>：</w:t>
            </w:r>
            <w:r>
              <w:rPr>
                <w:rFonts w:hint="eastAsia"/>
              </w:rPr>
              <w:t>CMSONE的</w:t>
            </w:r>
            <w:r>
              <w:t>传感器是</w:t>
            </w:r>
            <w:r>
              <w:rPr>
                <w:rFonts w:hint="eastAsia"/>
              </w:rPr>
              <w:t>100</w:t>
            </w:r>
            <w:r>
              <w:t>Mv</w:t>
            </w:r>
            <w:r>
              <w:rPr>
                <w:rFonts w:hint="eastAsia"/>
              </w:rPr>
              <w:t>/</w:t>
            </w:r>
            <w:r>
              <w:t>g</w:t>
            </w:r>
            <w:r>
              <w:rPr>
                <w:rFonts w:hint="eastAsia"/>
              </w:rPr>
              <w:t>，低频段</w:t>
            </w:r>
            <w:r>
              <w:t>综合性能可靠，</w:t>
            </w:r>
            <w:r>
              <w:rPr>
                <w:rFonts w:hint="eastAsia"/>
              </w:rPr>
              <w:t>可</w:t>
            </w:r>
            <w:r>
              <w:t>重复性</w:t>
            </w:r>
            <w:r>
              <w:rPr>
                <w:rFonts w:hint="eastAsia"/>
              </w:rPr>
              <w:t>高</w:t>
            </w:r>
            <w:r>
              <w:t>，其中</w:t>
            </w:r>
            <w:r>
              <w:rPr>
                <w:rFonts w:hint="eastAsia"/>
              </w:rPr>
              <w:t>SN1</w:t>
            </w:r>
            <w:r>
              <w:t>2061\SN12066</w:t>
            </w:r>
            <w:r>
              <w:rPr>
                <w:rFonts w:hint="eastAsia"/>
              </w:rPr>
              <w:t>在</w:t>
            </w:r>
            <w:r>
              <w:t>高频段</w:t>
            </w:r>
            <w:r>
              <w:rPr>
                <w:rFonts w:hint="eastAsia"/>
              </w:rPr>
              <w:t>指标</w:t>
            </w:r>
            <w:r>
              <w:t>偏离</w:t>
            </w:r>
            <w:r>
              <w:rPr>
                <w:rFonts w:hint="eastAsia"/>
              </w:rPr>
              <w:t>10</w:t>
            </w:r>
            <w:r>
              <w:t>%的指标</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lang w:val="en-US" w:eastAsia="zh-CN"/>
              </w:rPr>
              <w:t>查，公司的质量检验测试人员均有公司的授权。</w:t>
            </w:r>
          </w:p>
          <w:p>
            <w:pPr>
              <w:spacing w:line="360" w:lineRule="auto"/>
              <w:rPr>
                <w:rFonts w:ascii="宋体" w:hAnsi="宋体" w:cs="宋体"/>
                <w:szCs w:val="21"/>
              </w:rPr>
            </w:pPr>
            <w:r>
              <w:rPr>
                <w:rFonts w:hint="eastAsia" w:ascii="宋体" w:hAnsi="宋体" w:cs="宋体"/>
                <w:szCs w:val="21"/>
                <w:highlight w:val="none"/>
                <w:lang w:val="en-US" w:eastAsia="zh-CN"/>
              </w:rPr>
              <w:t>产品实现过程的质量管理基本受控。</w:t>
            </w:r>
          </w:p>
        </w:tc>
        <w:tc>
          <w:tcPr>
            <w:tcW w:w="1054"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noWrap w:val="0"/>
            <w:vAlign w:val="top"/>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noWrap w:val="0"/>
            <w:vAlign w:val="top"/>
          </w:tcPr>
          <w:p>
            <w:pPr>
              <w:rPr>
                <w:rFonts w:ascii="宋体" w:hAnsi="宋体" w:cs="宋体"/>
                <w:b/>
                <w:szCs w:val="21"/>
              </w:rPr>
            </w:pPr>
            <w:r>
              <w:rPr>
                <w:rFonts w:hint="eastAsia" w:ascii="宋体" w:hAnsi="宋体" w:cs="新宋体"/>
                <w:szCs w:val="21"/>
              </w:rPr>
              <w:t xml:space="preserve">8.7 </w:t>
            </w:r>
          </w:p>
        </w:tc>
        <w:tc>
          <w:tcPr>
            <w:tcW w:w="10535" w:type="dxa"/>
            <w:noWrap w:val="0"/>
            <w:vAlign w:val="top"/>
          </w:tcPr>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公司明确各类、各阶段的不合格的控制管控要求，包括输入（来料）阶段、过程监视和测量阶段、输出（出货）阶段的不合格之识别、确定、标识、处置措施等，详见《不合格控制程序》</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---公司明确并实施处置不合格输出的途径；</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---公司明确并实施对不合格的处置方法选择、采取措施的程度取决于不合格的性质及其对产品和服务的影响程度；</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---公司明确并实施对适用于纠正的不合格输出，在进行纠正之后须实施再验证；</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---公司明确并实施不合格处置后须保留内容的记录</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询问负责人公司产品以及采购的产品未出现不合格的情况。</w:t>
            </w:r>
          </w:p>
          <w:p>
            <w:pPr>
              <w:spacing w:line="360" w:lineRule="auto"/>
              <w:ind w:firstLine="420" w:firstLineChars="200"/>
              <w:rPr>
                <w:rFonts w:ascii="宋体" w:hAnsi="宋体" w:cs="宋体"/>
                <w:szCs w:val="21"/>
              </w:rPr>
            </w:pPr>
            <w:r>
              <w:rPr>
                <w:rFonts w:hint="eastAsia" w:ascii="宋体" w:hAnsi="宋体" w:cs="宋体"/>
                <w:szCs w:val="21"/>
                <w:highlight w:val="none"/>
                <w:lang w:val="en-US" w:eastAsia="zh-CN"/>
              </w:rPr>
              <w:t>负责人讲：组织基本上没有让步接收、让步放行、让步使用的情况。</w:t>
            </w:r>
          </w:p>
        </w:tc>
        <w:tc>
          <w:tcPr>
            <w:tcW w:w="1054" w:type="dxa"/>
            <w:noWrap w:val="0"/>
            <w:vAlign w:val="top"/>
          </w:tcPr>
          <w:p>
            <w:r>
              <w:rPr>
                <w:rFonts w:hint="eastAsia"/>
                <w:lang w:val="en-US" w:eastAsia="zh-CN"/>
              </w:rPr>
              <w:t>符合</w:t>
            </w:r>
          </w:p>
        </w:tc>
      </w:tr>
    </w:tbl>
    <w:p>
      <w:pPr>
        <w:pStyle w:val="10"/>
        <w:rPr>
          <w:rFonts w:ascii="隶书" w:hAnsi="宋体" w:eastAsia="隶书"/>
          <w:bCs/>
          <w:color w:val="000000"/>
          <w:sz w:val="36"/>
          <w:szCs w:val="36"/>
        </w:rPr>
      </w:pPr>
      <w:r>
        <w:rPr>
          <w:rFonts w:hint="eastAsia"/>
        </w:rPr>
        <w:t>说明：不符合标注N</w:t>
      </w:r>
    </w:p>
    <w:p>
      <w:pPr>
        <w:spacing w:line="480" w:lineRule="exact"/>
        <w:rPr>
          <w:rFonts w:ascii="隶书" w:hAnsi="宋体" w:eastAsia="隶书"/>
          <w:bCs/>
          <w:color w:val="000000"/>
          <w:sz w:val="36"/>
          <w:szCs w:val="36"/>
        </w:rPr>
      </w:pPr>
    </w:p>
    <w:p>
      <w:pPr>
        <w:pStyle w:val="10"/>
        <w:rPr>
          <w:rFonts w:hint="eastAsia"/>
        </w:rPr>
      </w:pPr>
    </w:p>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98"/>
        <w:gridCol w:w="10266"/>
        <w:gridCol w:w="303"/>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过程与活动、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抽样计划</w:t>
            </w:r>
          </w:p>
        </w:tc>
        <w:tc>
          <w:tcPr>
            <w:tcW w:w="698" w:type="dxa"/>
            <w:vMerge w:val="restart"/>
            <w:noWrap w:val="0"/>
            <w:vAlign w:val="center"/>
          </w:tcPr>
          <w:p>
            <w:pPr>
              <w:spacing w:line="360" w:lineRule="auto"/>
              <w:rPr>
                <w:rFonts w:hint="eastAsia" w:ascii="宋体" w:hAnsi="宋体" w:cs="宋体"/>
                <w:color w:val="000000"/>
                <w:szCs w:val="24"/>
              </w:rPr>
            </w:pPr>
            <w:r>
              <w:rPr>
                <w:rFonts w:hint="eastAsia" w:ascii="宋体" w:hAnsi="宋体" w:cs="宋体"/>
                <w:color w:val="000000"/>
                <w:szCs w:val="24"/>
              </w:rPr>
              <w:t>涉及条款</w:t>
            </w:r>
          </w:p>
        </w:tc>
        <w:tc>
          <w:tcPr>
            <w:tcW w:w="10266" w:type="dxa"/>
            <w:noWrap w:val="0"/>
            <w:vAlign w:val="center"/>
          </w:tcPr>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rPr>
              <w:t>受审核部门：</w:t>
            </w:r>
            <w:r>
              <w:rPr>
                <w:rFonts w:hint="eastAsia" w:ascii="宋体" w:hAnsi="宋体" w:cs="宋体"/>
                <w:color w:val="000000"/>
                <w:szCs w:val="24"/>
                <w:lang w:val="en-US" w:eastAsia="zh-CN"/>
              </w:rPr>
              <w:t>综合管理</w:t>
            </w:r>
            <w:r>
              <w:rPr>
                <w:rFonts w:hint="eastAsia" w:ascii="宋体" w:hAnsi="宋体" w:cs="宋体"/>
                <w:color w:val="000000"/>
                <w:szCs w:val="24"/>
              </w:rPr>
              <w:t xml:space="preserve">部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主管领导：</w:t>
            </w:r>
            <w:r>
              <w:rPr>
                <w:rFonts w:hint="eastAsia" w:ascii="宋体" w:hAnsi="宋体" w:cs="宋体"/>
                <w:color w:val="000000"/>
                <w:szCs w:val="24"/>
                <w:lang w:val="en-US" w:eastAsia="zh-CN"/>
              </w:rPr>
              <w:t>冯晟</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cs="宋体"/>
                <w:color w:val="000000"/>
                <w:szCs w:val="24"/>
                <w:lang w:val="en-US" w:eastAsia="zh-CN"/>
              </w:rPr>
              <w:t>冯晟</w:t>
            </w:r>
          </w:p>
        </w:tc>
        <w:tc>
          <w:tcPr>
            <w:tcW w:w="1585" w:type="dxa"/>
            <w:gridSpan w:val="2"/>
            <w:vMerge w:val="restart"/>
            <w:noWrap w:val="0"/>
            <w:vAlign w:val="center"/>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spacing w:line="360" w:lineRule="auto"/>
              <w:ind w:firstLine="420" w:firstLineChars="200"/>
              <w:rPr>
                <w:rFonts w:hint="eastAsia" w:ascii="宋体" w:hAnsi="宋体" w:cs="宋体"/>
                <w:color w:val="000000"/>
                <w:szCs w:val="24"/>
              </w:rPr>
            </w:pPr>
          </w:p>
        </w:tc>
        <w:tc>
          <w:tcPr>
            <w:tcW w:w="698" w:type="dxa"/>
            <w:vMerge w:val="continue"/>
            <w:noWrap w:val="0"/>
            <w:vAlign w:val="center"/>
          </w:tcPr>
          <w:p>
            <w:pPr>
              <w:spacing w:line="360" w:lineRule="auto"/>
              <w:ind w:firstLine="420" w:firstLineChars="200"/>
              <w:rPr>
                <w:rFonts w:hint="eastAsia" w:ascii="宋体" w:hAnsi="宋体" w:cs="宋体"/>
                <w:color w:val="000000"/>
                <w:szCs w:val="24"/>
              </w:rPr>
            </w:pPr>
          </w:p>
        </w:tc>
        <w:tc>
          <w:tcPr>
            <w:tcW w:w="10266" w:type="dxa"/>
            <w:noWrap w:val="0"/>
            <w:vAlign w:val="center"/>
          </w:tcPr>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rPr>
              <w:t>审核员：</w:t>
            </w:r>
            <w:r>
              <w:rPr>
                <w:rFonts w:hint="eastAsia" w:ascii="宋体" w:hAnsi="宋体" w:cs="宋体"/>
                <w:color w:val="000000"/>
                <w:szCs w:val="24"/>
                <w:lang w:val="en-US" w:eastAsia="zh-CN"/>
              </w:rPr>
              <w:t>宋明珠</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审核时间：20</w:t>
            </w:r>
            <w:r>
              <w:rPr>
                <w:rFonts w:hint="eastAsia" w:ascii="宋体" w:hAnsi="宋体" w:cs="宋体"/>
                <w:color w:val="000000"/>
                <w:szCs w:val="24"/>
                <w:lang w:val="en-US" w:eastAsia="zh-CN"/>
              </w:rPr>
              <w:t>21</w:t>
            </w:r>
            <w:r>
              <w:rPr>
                <w:rFonts w:hint="eastAsia" w:ascii="宋体" w:hAnsi="宋体" w:cs="宋体"/>
                <w:color w:val="000000"/>
                <w:szCs w:val="24"/>
              </w:rPr>
              <w:t>.</w:t>
            </w:r>
            <w:r>
              <w:rPr>
                <w:rFonts w:hint="eastAsia" w:ascii="宋体" w:hAnsi="宋体" w:cs="宋体"/>
                <w:color w:val="000000"/>
                <w:szCs w:val="24"/>
                <w:lang w:val="en-US" w:eastAsia="zh-CN"/>
              </w:rPr>
              <w:t>11.15</w:t>
            </w:r>
            <w:r>
              <w:rPr>
                <w:rFonts w:hint="eastAsia" w:ascii="宋体" w:hAnsi="宋体" w:cs="宋体"/>
                <w:color w:val="000000"/>
                <w:szCs w:val="24"/>
              </w:rPr>
              <w:t xml:space="preserve">     </w:t>
            </w:r>
          </w:p>
        </w:tc>
        <w:tc>
          <w:tcPr>
            <w:tcW w:w="1585" w:type="dxa"/>
            <w:gridSpan w:val="2"/>
            <w:vMerge w:val="continue"/>
            <w:noWrap w:val="0"/>
            <w:vAlign w:val="top"/>
          </w:tcPr>
          <w:p>
            <w:pPr>
              <w:spacing w:line="360" w:lineRule="auto"/>
              <w:ind w:firstLine="420" w:firstLineChars="20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spacing w:line="360" w:lineRule="auto"/>
              <w:ind w:firstLine="420" w:firstLineChars="200"/>
              <w:rPr>
                <w:rFonts w:hint="eastAsia" w:ascii="宋体" w:hAnsi="宋体" w:cs="宋体"/>
                <w:color w:val="000000"/>
                <w:szCs w:val="24"/>
              </w:rPr>
            </w:pPr>
          </w:p>
        </w:tc>
        <w:tc>
          <w:tcPr>
            <w:tcW w:w="698" w:type="dxa"/>
            <w:vMerge w:val="continue"/>
            <w:noWrap w:val="0"/>
            <w:vAlign w:val="center"/>
          </w:tcPr>
          <w:p>
            <w:pPr>
              <w:spacing w:line="360" w:lineRule="auto"/>
              <w:ind w:firstLine="420" w:firstLineChars="200"/>
              <w:rPr>
                <w:rFonts w:hint="eastAsia" w:ascii="宋体" w:hAnsi="宋体" w:cs="宋体"/>
                <w:color w:val="000000"/>
                <w:szCs w:val="24"/>
              </w:rPr>
            </w:pPr>
          </w:p>
        </w:tc>
        <w:tc>
          <w:tcPr>
            <w:tcW w:w="10266" w:type="dxa"/>
            <w:noWrap w:val="0"/>
            <w:vAlign w:val="center"/>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审核条款： </w:t>
            </w:r>
          </w:p>
        </w:tc>
        <w:tc>
          <w:tcPr>
            <w:tcW w:w="1585" w:type="dxa"/>
            <w:gridSpan w:val="2"/>
            <w:vMerge w:val="continue"/>
            <w:noWrap w:val="0"/>
            <w:vAlign w:val="top"/>
          </w:tcPr>
          <w:p>
            <w:pPr>
              <w:spacing w:line="360" w:lineRule="auto"/>
              <w:ind w:firstLine="420" w:firstLineChars="20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698" w:type="dxa"/>
            <w:noWrap w:val="0"/>
            <w:vAlign w:val="top"/>
          </w:tcPr>
          <w:p>
            <w:pPr>
              <w:rPr>
                <w:rFonts w:ascii="宋体" w:hAnsi="宋体" w:cs="新宋体"/>
                <w:szCs w:val="21"/>
              </w:rPr>
            </w:pPr>
            <w:r>
              <w:rPr>
                <w:rFonts w:hint="eastAsia" w:ascii="宋体" w:hAnsi="宋体" w:cs="宋体"/>
                <w:b/>
                <w:szCs w:val="21"/>
              </w:rPr>
              <w:t>5.3</w:t>
            </w:r>
          </w:p>
        </w:tc>
        <w:tc>
          <w:tcPr>
            <w:tcW w:w="10266" w:type="dxa"/>
            <w:noWrap w:val="0"/>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val="en-US" w:eastAsia="zh-CN"/>
              </w:rPr>
              <w:t>综合管理</w:t>
            </w:r>
            <w:r>
              <w:rPr>
                <w:rFonts w:hint="eastAsia" w:ascii="宋体" w:hAnsi="宋体" w:cs="宋体"/>
                <w:szCs w:val="21"/>
              </w:rPr>
              <w:t>部的岗位职责，具体为：</w:t>
            </w:r>
          </w:p>
          <w:p>
            <w:pPr>
              <w:pStyle w:val="8"/>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（1）、在总经理的领导下，负责公司行政、人力资源、文控等管理工作。</w:t>
            </w:r>
          </w:p>
          <w:p>
            <w:pPr>
              <w:spacing w:line="360" w:lineRule="auto"/>
              <w:ind w:firstLine="525" w:firstLineChars="25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（2）、负责公司管理体系文件的起草、发放、回收、归档等管理工作。</w:t>
            </w:r>
          </w:p>
          <w:p>
            <w:pPr>
              <w:pStyle w:val="8"/>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（3）、负责处理本公司来往文件、传真、信函和本公司文件的打印、文件资料信息的收集、整理工作。</w:t>
            </w:r>
          </w:p>
          <w:p>
            <w:pPr>
              <w:pStyle w:val="8"/>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（4）、负责公司各岗位任职条件的制定以及员工的招聘、培训、考核、辞退等工作。</w:t>
            </w:r>
          </w:p>
          <w:p>
            <w:pPr>
              <w:pStyle w:val="8"/>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（5）、负责制定并组织实施员工培训计划并组织实施。</w:t>
            </w:r>
          </w:p>
          <w:p>
            <w:pPr>
              <w:pStyle w:val="8"/>
              <w:spacing w:line="360" w:lineRule="auto"/>
              <w:ind w:firstLine="482" w:firstLineChars="23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（6）、负责公司员工培训记录的归档工作。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gridSpan w:val="2"/>
            <w:noWrap w:val="0"/>
            <w:vAlign w:val="top"/>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698" w:type="dxa"/>
            <w:noWrap w:val="0"/>
            <w:vAlign w:val="top"/>
          </w:tcPr>
          <w:p>
            <w:pPr>
              <w:rPr>
                <w:rFonts w:ascii="宋体" w:hAnsi="宋体" w:cs="新宋体"/>
                <w:szCs w:val="21"/>
              </w:rPr>
            </w:pPr>
            <w:r>
              <w:rPr>
                <w:rFonts w:hint="eastAsia" w:ascii="宋体" w:hAnsi="宋体" w:cs="宋体"/>
                <w:b/>
                <w:szCs w:val="21"/>
              </w:rPr>
              <w:t>6.2</w:t>
            </w:r>
          </w:p>
        </w:tc>
        <w:tc>
          <w:tcPr>
            <w:tcW w:w="10569" w:type="dxa"/>
            <w:gridSpan w:val="2"/>
            <w:noWrap w:val="0"/>
            <w:vAlign w:val="top"/>
          </w:tcPr>
          <w:p>
            <w:pPr>
              <w:spacing w:line="360" w:lineRule="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综合管理部负责人：冯晟</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查《部门质量目标分解目标》 </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测量时间：202</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.01-</w:t>
            </w:r>
            <w:r>
              <w:rPr>
                <w:rFonts w:hint="eastAsia" w:ascii="宋体" w:hAnsi="宋体" w:cs="宋体"/>
                <w:kern w:val="2"/>
                <w:sz w:val="21"/>
                <w:szCs w:val="21"/>
                <w:lang w:val="en-US" w:eastAsia="zh-CN" w:bidi="ar-SA"/>
              </w:rPr>
              <w:t>9</w:t>
            </w:r>
            <w:r>
              <w:rPr>
                <w:rFonts w:hint="eastAsia" w:ascii="宋体" w:hAnsi="宋体" w:eastAsia="宋体" w:cs="宋体"/>
                <w:kern w:val="2"/>
                <w:sz w:val="21"/>
                <w:szCs w:val="21"/>
                <w:lang w:val="en-US" w:eastAsia="zh-CN" w:bidi="ar-SA"/>
              </w:rPr>
              <w:t>月</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培训计划完成率100%             实测：100%</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文件发放准确率100%             实测：100%</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2020年1月-</w:t>
            </w:r>
            <w:r>
              <w:rPr>
                <w:rFonts w:hint="eastAsia" w:ascii="宋体" w:hAnsi="宋体" w:cs="宋体"/>
                <w:kern w:val="2"/>
                <w:sz w:val="21"/>
                <w:szCs w:val="21"/>
                <w:lang w:val="en-US" w:eastAsia="zh-CN" w:bidi="ar-SA"/>
              </w:rPr>
              <w:t>9</w:t>
            </w:r>
            <w:r>
              <w:rPr>
                <w:rFonts w:hint="eastAsia" w:ascii="宋体" w:hAnsi="宋体" w:eastAsia="宋体" w:cs="宋体"/>
                <w:kern w:val="2"/>
                <w:sz w:val="21"/>
                <w:szCs w:val="21"/>
                <w:lang w:val="en-US" w:eastAsia="zh-CN" w:bidi="ar-SA"/>
              </w:rPr>
              <w:t>月对目标进行考核，均达到目标。</w:t>
            </w:r>
          </w:p>
          <w:p>
            <w:pPr>
              <w:spacing w:line="360" w:lineRule="auto"/>
              <w:rPr>
                <w:rFonts w:hint="eastAsia" w:ascii="宋体" w:hAnsi="宋体" w:eastAsia="宋体" w:cs="宋体"/>
                <w:szCs w:val="21"/>
                <w:lang w:eastAsia="zh-CN"/>
              </w:rPr>
            </w:pPr>
            <w:r>
              <w:rPr>
                <w:rFonts w:hint="eastAsia" w:ascii="宋体" w:hAnsi="宋体" w:cs="宋体"/>
                <w:color w:val="000000"/>
                <w:spacing w:val="-4"/>
                <w:szCs w:val="21"/>
              </w:rPr>
              <w:t>质量目标覆盖相关职能、层次和过程，质量目标与质量方针保持一致</w:t>
            </w:r>
            <w:r>
              <w:rPr>
                <w:rFonts w:hint="eastAsia" w:ascii="宋体" w:hAnsi="宋体" w:cs="宋体"/>
                <w:color w:val="000000"/>
                <w:spacing w:val="-4"/>
                <w:szCs w:val="21"/>
                <w:lang w:eastAsia="zh-CN"/>
              </w:rPr>
              <w:t>。</w:t>
            </w:r>
          </w:p>
        </w:tc>
        <w:tc>
          <w:tcPr>
            <w:tcW w:w="1282" w:type="dxa"/>
            <w:noWrap w:val="0"/>
            <w:vAlign w:val="top"/>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p>
        </w:tc>
        <w:tc>
          <w:tcPr>
            <w:tcW w:w="698" w:type="dxa"/>
            <w:noWrap w:val="0"/>
            <w:vAlign w:val="top"/>
          </w:tcPr>
          <w:p>
            <w:pPr>
              <w:rPr>
                <w:rFonts w:ascii="宋体" w:hAnsi="宋体" w:cs="宋体"/>
                <w:b/>
                <w:szCs w:val="21"/>
              </w:rPr>
            </w:pPr>
            <w:r>
              <w:rPr>
                <w:rFonts w:hint="eastAsia"/>
                <w:b/>
              </w:rPr>
              <w:t>9.1.3</w:t>
            </w:r>
          </w:p>
        </w:tc>
        <w:tc>
          <w:tcPr>
            <w:tcW w:w="10569" w:type="dxa"/>
            <w:gridSpan w:val="2"/>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szCs w:val="24"/>
                <w:lang w:eastAsia="zh-CN"/>
              </w:rPr>
              <w:t>管理手册</w:t>
            </w:r>
            <w:r>
              <w:rPr>
                <w:rFonts w:hint="eastAsia" w:ascii="宋体" w:hAnsi="宋体" w:cs="宋体"/>
                <w:color w:val="000000"/>
                <w:szCs w:val="24"/>
              </w:rPr>
              <w:t xml:space="preserve">及相关文件中对收集产品、过程、体系数据的范围、类型、统计方法进行了规定。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2.查顾客满意度调查表：公司20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3</w:t>
            </w:r>
            <w:r>
              <w:rPr>
                <w:rFonts w:hint="eastAsia" w:ascii="宋体" w:hAnsi="宋体" w:cs="宋体"/>
                <w:color w:val="000000"/>
                <w:szCs w:val="24"/>
              </w:rPr>
              <w:t>月以问卷形式对顾客进行了满意度调查，共计发放</w:t>
            </w:r>
            <w:r>
              <w:rPr>
                <w:rFonts w:hint="eastAsia" w:ascii="宋体" w:hAnsi="宋体" w:cs="宋体"/>
                <w:color w:val="000000"/>
                <w:szCs w:val="24"/>
                <w:lang w:val="en-US" w:eastAsia="zh-CN"/>
              </w:rPr>
              <w:t>3</w:t>
            </w:r>
            <w:r>
              <w:rPr>
                <w:rFonts w:hint="eastAsia" w:ascii="宋体" w:hAnsi="宋体" w:cs="宋体"/>
                <w:color w:val="000000"/>
                <w:szCs w:val="24"/>
              </w:rPr>
              <w:t>份，回收</w:t>
            </w:r>
            <w:r>
              <w:rPr>
                <w:rFonts w:hint="eastAsia" w:ascii="宋体" w:hAnsi="宋体" w:cs="宋体"/>
                <w:color w:val="000000"/>
                <w:szCs w:val="24"/>
                <w:lang w:val="en-US" w:eastAsia="zh-CN"/>
              </w:rPr>
              <w:t>3</w:t>
            </w:r>
            <w:r>
              <w:rPr>
                <w:rFonts w:hint="eastAsia" w:ascii="宋体" w:hAnsi="宋体" w:cs="宋体"/>
                <w:color w:val="000000"/>
                <w:szCs w:val="24"/>
              </w:rPr>
              <w:t>份。对公司的服务、质量、交付等项进行打分。查《顾客满意程度调查表》对满意度进行了统计；通过统计顾客满意率为9</w:t>
            </w:r>
            <w:r>
              <w:rPr>
                <w:rFonts w:hint="eastAsia" w:ascii="宋体" w:hAnsi="宋体" w:cs="宋体"/>
                <w:color w:val="000000"/>
                <w:szCs w:val="24"/>
                <w:lang w:val="en-US" w:eastAsia="zh-CN"/>
              </w:rPr>
              <w:t>8</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val="en-US" w:eastAsia="zh-CN"/>
              </w:rPr>
              <w:t>3</w:t>
            </w:r>
            <w:r>
              <w:rPr>
                <w:rFonts w:hint="eastAsia" w:ascii="宋体" w:hAnsi="宋体" w:cs="宋体"/>
                <w:color w:val="000000"/>
                <w:szCs w:val="24"/>
              </w:rPr>
              <w:t>.查质量目标统计等记录，公司至20</w:t>
            </w:r>
            <w:r>
              <w:rPr>
                <w:rFonts w:hint="eastAsia" w:ascii="宋体" w:hAnsi="宋体" w:cs="宋体"/>
                <w:color w:val="000000"/>
                <w:szCs w:val="24"/>
                <w:lang w:val="en-US" w:eastAsia="zh-CN"/>
              </w:rPr>
              <w:t>21</w:t>
            </w:r>
            <w:r>
              <w:rPr>
                <w:rFonts w:hint="eastAsia" w:ascii="宋体" w:hAnsi="宋体" w:cs="宋体"/>
                <w:color w:val="000000"/>
                <w:szCs w:val="24"/>
              </w:rPr>
              <w:t>年</w:t>
            </w:r>
            <w:r>
              <w:rPr>
                <w:rFonts w:hint="eastAsia" w:ascii="宋体" w:hAnsi="宋体" w:cs="宋体"/>
                <w:color w:val="000000"/>
                <w:szCs w:val="24"/>
                <w:lang w:val="en-US" w:eastAsia="zh-CN"/>
              </w:rPr>
              <w:t>1</w:t>
            </w:r>
            <w:r>
              <w:rPr>
                <w:rFonts w:hint="eastAsia" w:ascii="宋体" w:hAnsi="宋体" w:cs="宋体"/>
                <w:color w:val="000000"/>
                <w:szCs w:val="24"/>
              </w:rPr>
              <w:t>月</w:t>
            </w:r>
            <w:r>
              <w:rPr>
                <w:rFonts w:hint="eastAsia" w:ascii="宋体" w:hAnsi="宋体" w:cs="宋体"/>
                <w:color w:val="000000"/>
                <w:szCs w:val="24"/>
                <w:lang w:val="en-US" w:eastAsia="zh-CN"/>
              </w:rPr>
              <w:t>-9月</w:t>
            </w:r>
            <w:r>
              <w:rPr>
                <w:rFonts w:hint="eastAsia" w:ascii="宋体" w:hAnsi="宋体" w:cs="宋体"/>
                <w:color w:val="000000"/>
                <w:szCs w:val="24"/>
              </w:rPr>
              <w:t>数据统计的结果</w:t>
            </w:r>
            <w:r>
              <w:rPr>
                <w:rFonts w:hint="eastAsia" w:ascii="宋体" w:hAnsi="宋体" w:cs="宋体"/>
                <w:color w:val="000000"/>
                <w:szCs w:val="24"/>
                <w:lang w:val="en-US" w:eastAsia="zh-CN"/>
              </w:rPr>
              <w:t>符合质量目标要求。</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lang w:val="en-US" w:eastAsia="zh-CN"/>
              </w:rPr>
              <w:t>4</w:t>
            </w:r>
            <w:r>
              <w:rPr>
                <w:rFonts w:hint="eastAsia" w:ascii="宋体" w:hAnsi="宋体" w:cs="宋体"/>
                <w:color w:val="000000"/>
                <w:szCs w:val="24"/>
              </w:rPr>
              <w:t>.查《管理评审资料》对过程和产品的特性及趋势、供方、顾客满意、产品的符合性进行了分析，均较满意。</w:t>
            </w:r>
          </w:p>
          <w:p>
            <w:pPr>
              <w:spacing w:line="360" w:lineRule="auto"/>
              <w:rPr>
                <w:rFonts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根据组织提供的相关文件资料，数据分析深度，能提供实质性的支持性数据文件。</w:t>
            </w:r>
          </w:p>
        </w:tc>
        <w:tc>
          <w:tcPr>
            <w:tcW w:w="1282" w:type="dxa"/>
            <w:noWrap w:val="0"/>
            <w:vAlign w:val="top"/>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1"/>
              </w:rPr>
            </w:pPr>
          </w:p>
        </w:tc>
        <w:tc>
          <w:tcPr>
            <w:tcW w:w="698" w:type="dxa"/>
            <w:noWrap w:val="0"/>
            <w:vAlign w:val="top"/>
          </w:tcPr>
          <w:p>
            <w:pPr>
              <w:rPr>
                <w:rFonts w:ascii="宋体" w:hAnsi="宋体" w:cs="宋体"/>
                <w:b/>
                <w:szCs w:val="21"/>
              </w:rPr>
            </w:pPr>
            <w:r>
              <w:rPr>
                <w:rFonts w:hint="eastAsia"/>
                <w:b/>
              </w:rPr>
              <w:t>9.2</w:t>
            </w:r>
          </w:p>
        </w:tc>
        <w:tc>
          <w:tcPr>
            <w:tcW w:w="10569" w:type="dxa"/>
            <w:gridSpan w:val="2"/>
            <w:noWrap w:val="0"/>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本次审核时间：20</w:t>
            </w:r>
            <w:r>
              <w:rPr>
                <w:rFonts w:hint="eastAsia" w:ascii="宋体" w:hAnsi="宋体" w:cs="宋体"/>
                <w:szCs w:val="24"/>
                <w:lang w:val="en-US" w:eastAsia="zh-CN"/>
              </w:rPr>
              <w:t>21</w:t>
            </w:r>
            <w:r>
              <w:rPr>
                <w:rFonts w:hint="eastAsia" w:ascii="宋体" w:hAnsi="宋体" w:cs="宋体"/>
                <w:szCs w:val="24"/>
              </w:rPr>
              <w:t>.</w:t>
            </w:r>
            <w:r>
              <w:rPr>
                <w:rFonts w:hint="eastAsia" w:ascii="宋体" w:hAnsi="宋体" w:cs="宋体"/>
                <w:szCs w:val="24"/>
                <w:lang w:val="en-US" w:eastAsia="zh-CN"/>
              </w:rPr>
              <w:t>3.10</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审核组组成：组长：</w:t>
            </w:r>
            <w:r>
              <w:rPr>
                <w:rFonts w:hint="eastAsia" w:ascii="宋体" w:hAnsi="宋体" w:cs="宋体"/>
                <w:color w:val="000000"/>
                <w:szCs w:val="24"/>
                <w:lang w:val="en-US" w:eastAsia="zh-CN"/>
              </w:rPr>
              <w:t>冯晟</w:t>
            </w:r>
            <w:r>
              <w:rPr>
                <w:rFonts w:hint="eastAsia" w:ascii="宋体" w:hAnsi="宋体" w:cs="宋体"/>
                <w:color w:val="000000"/>
                <w:szCs w:val="24"/>
              </w:rPr>
              <w:t xml:space="preserve"> </w:t>
            </w:r>
          </w:p>
          <w:p>
            <w:pPr>
              <w:spacing w:line="360" w:lineRule="auto"/>
              <w:ind w:firstLine="420" w:firstLineChars="200"/>
              <w:jc w:val="left"/>
              <w:rPr>
                <w:rFonts w:hint="default" w:ascii="宋体" w:hAnsi="宋体" w:eastAsia="宋体" w:cs="宋体"/>
                <w:color w:val="000000"/>
                <w:szCs w:val="24"/>
                <w:lang w:val="en-US" w:eastAsia="zh-CN"/>
              </w:rPr>
            </w:pPr>
            <w:r>
              <w:rPr>
                <w:rFonts w:hint="eastAsia" w:ascii="宋体" w:hAnsi="宋体" w:cs="宋体"/>
                <w:color w:val="000000"/>
                <w:szCs w:val="24"/>
              </w:rPr>
              <w:t xml:space="preserve">            组员：</w:t>
            </w:r>
            <w:r>
              <w:rPr>
                <w:rFonts w:hint="eastAsia" w:ascii="宋体" w:hAnsi="宋体" w:cs="宋体"/>
                <w:color w:val="000000"/>
                <w:szCs w:val="24"/>
                <w:lang w:val="en-US" w:eastAsia="zh-CN"/>
              </w:rPr>
              <w:t>段云</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新宋体"/>
                <w:sz w:val="21"/>
                <w:szCs w:val="21"/>
                <w:lang w:val="en-US" w:eastAsia="zh-CN"/>
              </w:rPr>
              <w:t>市场营销</w:t>
            </w:r>
            <w:r>
              <w:rPr>
                <w:rFonts w:hint="eastAsia" w:ascii="宋体" w:hAnsi="宋体" w:cs="宋体"/>
                <w:color w:val="000000"/>
                <w:szCs w:val="24"/>
              </w:rPr>
              <w:t>部审核检查表》、《</w:t>
            </w:r>
            <w:r>
              <w:rPr>
                <w:rFonts w:hint="eastAsia" w:ascii="宋体" w:hAnsi="宋体" w:cs="新宋体"/>
                <w:sz w:val="21"/>
                <w:szCs w:val="21"/>
                <w:lang w:val="en-US" w:eastAsia="zh-CN"/>
              </w:rPr>
              <w:t>综合管理部</w:t>
            </w:r>
            <w:r>
              <w:rPr>
                <w:rFonts w:hint="eastAsia" w:ascii="宋体" w:hAnsi="宋体" w:cs="宋体"/>
                <w:color w:val="000000"/>
                <w:szCs w:val="24"/>
              </w:rPr>
              <w:t>审核检查表》</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新宋体"/>
                <w:sz w:val="21"/>
                <w:szCs w:val="21"/>
                <w:lang w:val="en-US" w:eastAsia="zh-CN"/>
              </w:rPr>
              <w:t>技术研发</w:t>
            </w:r>
            <w:r>
              <w:rPr>
                <w:rFonts w:hint="eastAsia" w:ascii="宋体" w:hAnsi="宋体" w:cs="新宋体"/>
                <w:sz w:val="21"/>
                <w:szCs w:val="21"/>
              </w:rPr>
              <w:t>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查，《内审报告》，审核结论：公司质量管理体系基本符合ISQ9001：2015质量管理体系要求，且运行有效。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color w:val="000000"/>
                <w:szCs w:val="24"/>
              </w:rPr>
              <w:t>》1份涉及</w:t>
            </w:r>
            <w:r>
              <w:rPr>
                <w:rFonts w:hint="eastAsia" w:ascii="宋体" w:hAnsi="宋体" w:cs="宋体"/>
                <w:color w:val="000000"/>
                <w:szCs w:val="24"/>
                <w:lang w:val="en-US" w:eastAsia="zh-CN"/>
              </w:rPr>
              <w:t>市场营销部，审核时发现，未见1月份销售合同有评审记录，查不符合报告，对不符合项进行了分析，</w:t>
            </w:r>
            <w:r>
              <w:rPr>
                <w:rFonts w:hint="eastAsia" w:ascii="宋体" w:hAnsi="宋体" w:cs="宋体"/>
                <w:color w:val="000000"/>
                <w:szCs w:val="24"/>
              </w:rPr>
              <w:t>并制定了纠正措施，并进行了验证，不符合纠正措施已经关闭。</w:t>
            </w:r>
          </w:p>
          <w:p>
            <w:pPr>
              <w:spacing w:line="360" w:lineRule="auto"/>
              <w:ind w:firstLine="420" w:firstLineChars="200"/>
              <w:rPr>
                <w:rFonts w:ascii="宋体" w:hAnsi="宋体" w:cs="宋体"/>
                <w:szCs w:val="24"/>
              </w:rPr>
            </w:pPr>
            <w:r>
              <w:rPr>
                <w:rFonts w:hint="eastAsia" w:ascii="宋体" w:hAnsi="宋体" w:cs="宋体"/>
                <w:color w:val="000000"/>
                <w:szCs w:val="24"/>
              </w:rPr>
              <w:t>提供有《内部审核报告》查，审核结论：公司质量管</w:t>
            </w:r>
            <w:r>
              <w:rPr>
                <w:rFonts w:hint="eastAsia" w:ascii="宋体" w:hAnsi="宋体" w:cs="宋体"/>
                <w:szCs w:val="24"/>
              </w:rPr>
              <w:t>理体系的建立符合标准要求、实施有效。</w:t>
            </w:r>
          </w:p>
          <w:p>
            <w:pPr>
              <w:widowControl/>
              <w:spacing w:line="360" w:lineRule="auto"/>
              <w:ind w:firstLine="420" w:firstLineChars="20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spacing w:line="360" w:lineRule="auto"/>
              <w:rPr>
                <w:rFonts w:ascii="宋体" w:hAnsi="宋体" w:cs="宋体"/>
                <w:szCs w:val="21"/>
              </w:rPr>
            </w:pPr>
            <w:r>
              <w:rPr>
                <w:rFonts w:hint="eastAsia" w:ascii="宋体" w:hAnsi="宋体" w:cs="宋体"/>
                <w:szCs w:val="24"/>
              </w:rPr>
              <w:t>公司内审基本符合要求。</w:t>
            </w:r>
          </w:p>
        </w:tc>
        <w:tc>
          <w:tcPr>
            <w:tcW w:w="1282" w:type="dxa"/>
            <w:noWrap w:val="0"/>
            <w:vAlign w:val="top"/>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60" w:type="dxa"/>
            <w:noWrap w:val="0"/>
            <w:vAlign w:val="top"/>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1"/>
              </w:rPr>
            </w:pPr>
          </w:p>
        </w:tc>
        <w:tc>
          <w:tcPr>
            <w:tcW w:w="698" w:type="dxa"/>
            <w:noWrap w:val="0"/>
            <w:vAlign w:val="top"/>
          </w:tcPr>
          <w:p>
            <w:pPr>
              <w:rPr>
                <w:b/>
              </w:rPr>
            </w:pPr>
            <w:r>
              <w:rPr>
                <w:rFonts w:hint="eastAsia"/>
                <w:b/>
              </w:rPr>
              <w:t>10.2</w:t>
            </w:r>
          </w:p>
        </w:tc>
        <w:tc>
          <w:tcPr>
            <w:tcW w:w="10569" w:type="dxa"/>
            <w:gridSpan w:val="2"/>
            <w:noWrap w:val="0"/>
            <w:vAlign w:val="top"/>
          </w:tcPr>
          <w:p>
            <w:pPr>
              <w:spacing w:line="360" w:lineRule="auto"/>
              <w:ind w:firstLine="420" w:firstLineChars="200"/>
              <w:rPr>
                <w:rFonts w:ascii="宋体" w:hAnsi="宋体" w:cs="宋体"/>
                <w:szCs w:val="24"/>
              </w:rPr>
            </w:pPr>
            <w:r>
              <w:rPr>
                <w:rFonts w:hint="eastAsia" w:ascii="宋体" w:hAnsi="宋体" w:cs="宋体"/>
                <w:szCs w:val="24"/>
              </w:rPr>
              <w:t>公司制定《</w:t>
            </w:r>
            <w:r>
              <w:rPr>
                <w:rFonts w:hint="eastAsia"/>
                <w:szCs w:val="21"/>
              </w:rPr>
              <w:t>纠正与预防措施</w:t>
            </w:r>
            <w:r>
              <w:rPr>
                <w:rFonts w:hint="eastAsia"/>
                <w:szCs w:val="21"/>
                <w:lang w:val="en-US" w:eastAsia="zh-CN"/>
              </w:rPr>
              <w:t>控制</w:t>
            </w:r>
            <w:r>
              <w:rPr>
                <w:rFonts w:hint="eastAsia"/>
                <w:szCs w:val="21"/>
              </w:rPr>
              <w:t>程序</w:t>
            </w:r>
            <w:r>
              <w:rPr>
                <w:rFonts w:hint="eastAsia" w:ascii="宋体" w:hAnsi="宋体" w:cs="宋体"/>
                <w:szCs w:val="24"/>
              </w:rPr>
              <w:t>》，实施纠正措施，消除不合格的原因，以防止其再发生。在程序文件中规定了对不合格品的处理要求，不合格品处理程序和机构健全。现场提供有不合格品处置单。</w:t>
            </w:r>
          </w:p>
          <w:p>
            <w:pPr>
              <w:spacing w:line="360" w:lineRule="auto"/>
              <w:rPr>
                <w:rFonts w:ascii="宋体" w:hAnsi="宋体" w:cs="宋体"/>
                <w:szCs w:val="24"/>
              </w:rPr>
            </w:pPr>
            <w:r>
              <w:rPr>
                <w:rFonts w:hint="eastAsia" w:ascii="宋体" w:hAnsi="宋体" w:cs="宋体"/>
                <w:szCs w:val="24"/>
              </w:rPr>
              <w:t>抽查不合格品处置记录：</w:t>
            </w:r>
          </w:p>
          <w:p>
            <w:pPr>
              <w:spacing w:line="360" w:lineRule="auto"/>
              <w:ind w:firstLine="420" w:firstLineChars="200"/>
              <w:rPr>
                <w:rFonts w:ascii="宋体" w:hAnsi="宋体" w:cs="宋体"/>
                <w:szCs w:val="24"/>
              </w:rPr>
            </w:pPr>
            <w:r>
              <w:rPr>
                <w:rFonts w:hint="eastAsia" w:ascii="宋体" w:hAnsi="宋体" w:cs="宋体"/>
                <w:szCs w:val="24"/>
              </w:rPr>
              <w:t>提供有《纠正和预防措施处理单》1份</w:t>
            </w:r>
          </w:p>
          <w:p>
            <w:pPr>
              <w:spacing w:line="360" w:lineRule="auto"/>
              <w:ind w:firstLine="420" w:firstLineChars="200"/>
              <w:rPr>
                <w:rFonts w:ascii="宋体" w:hAnsi="宋体" w:cs="宋体"/>
                <w:szCs w:val="24"/>
              </w:rPr>
            </w:pPr>
            <w:r>
              <w:rPr>
                <w:rFonts w:hint="eastAsia" w:ascii="宋体" w:hAnsi="宋体" w:cs="宋体"/>
                <w:szCs w:val="24"/>
              </w:rPr>
              <w:t>时间：20</w:t>
            </w:r>
            <w:r>
              <w:rPr>
                <w:rFonts w:hint="eastAsia" w:ascii="宋体" w:hAnsi="宋体" w:cs="宋体"/>
                <w:szCs w:val="24"/>
                <w:lang w:val="en-US" w:eastAsia="zh-CN"/>
              </w:rPr>
              <w:t>21</w:t>
            </w:r>
            <w:r>
              <w:rPr>
                <w:rFonts w:hint="eastAsia" w:ascii="宋体" w:hAnsi="宋体" w:cs="宋体"/>
                <w:szCs w:val="24"/>
              </w:rPr>
              <w:t>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14</w:t>
            </w:r>
            <w:r>
              <w:rPr>
                <w:rFonts w:hint="eastAsia" w:ascii="宋体" w:hAnsi="宋体" w:cs="宋体"/>
                <w:szCs w:val="24"/>
              </w:rPr>
              <w:t>日  责任部门：</w:t>
            </w:r>
            <w:r>
              <w:rPr>
                <w:rFonts w:hint="eastAsia" w:ascii="宋体" w:hAnsi="宋体" w:cs="新宋体"/>
                <w:sz w:val="21"/>
                <w:szCs w:val="21"/>
                <w:lang w:val="en-US" w:eastAsia="zh-CN"/>
              </w:rPr>
              <w:t>综合管理部</w:t>
            </w:r>
          </w:p>
          <w:p>
            <w:pPr>
              <w:spacing w:line="440" w:lineRule="atLeast"/>
              <w:rPr>
                <w:rFonts w:ascii="宋体" w:hAnsi="宋体" w:cs="宋体"/>
                <w:szCs w:val="24"/>
              </w:rPr>
            </w:pPr>
            <w:r>
              <w:rPr>
                <w:rFonts w:hint="eastAsia" w:ascii="宋体" w:hAnsi="宋体" w:cs="宋体"/>
                <w:szCs w:val="24"/>
              </w:rPr>
              <w:t>不合格事实描述：</w:t>
            </w:r>
            <w:r>
              <w:rPr>
                <w:rFonts w:hint="eastAsia" w:ascii="宋体" w:hAnsi="宋体"/>
                <w:color w:val="auto"/>
                <w:sz w:val="24"/>
                <w:lang w:eastAsia="zh-CN"/>
              </w:rPr>
              <w:t>市场营销部</w:t>
            </w:r>
            <w:r>
              <w:rPr>
                <w:rFonts w:hint="eastAsia" w:ascii="宋体" w:hAnsi="宋体" w:cs="宋体"/>
                <w:szCs w:val="24"/>
                <w:lang w:val="en-US" w:eastAsia="zh-CN"/>
              </w:rPr>
              <w:t>未按要求对2021.10.16采购的16通道采集站进行验收签字</w:t>
            </w:r>
            <w:r>
              <w:rPr>
                <w:rFonts w:hint="eastAsia" w:ascii="宋体" w:hAnsi="宋体" w:cs="宋体"/>
                <w:szCs w:val="24"/>
              </w:rPr>
              <w:t>。</w:t>
            </w:r>
          </w:p>
          <w:p>
            <w:pPr>
              <w:spacing w:line="360" w:lineRule="auto"/>
              <w:ind w:firstLine="420" w:firstLineChars="200"/>
              <w:rPr>
                <w:rFonts w:ascii="宋体" w:hAnsi="宋体" w:cs="宋体"/>
                <w:szCs w:val="24"/>
              </w:rPr>
            </w:pPr>
            <w:r>
              <w:rPr>
                <w:rFonts w:hint="eastAsia" w:ascii="宋体" w:hAnsi="宋体" w:cs="宋体"/>
                <w:szCs w:val="24"/>
              </w:rPr>
              <w:t>原因分析：对上述不符合原因进行分析，管理人员对标准条款</w:t>
            </w:r>
            <w:r>
              <w:rPr>
                <w:rFonts w:hint="eastAsia" w:ascii="宋体" w:hAnsi="宋体" w:cs="宋体"/>
                <w:szCs w:val="24"/>
                <w:lang w:val="en-US" w:eastAsia="zh-CN"/>
              </w:rPr>
              <w:t>8.4</w:t>
            </w:r>
            <w:r>
              <w:rPr>
                <w:rFonts w:hint="eastAsia" w:ascii="宋体" w:hAnsi="宋体" w:cs="宋体"/>
                <w:szCs w:val="24"/>
              </w:rPr>
              <w:t xml:space="preserve"> 文件的控制条款理解不够。</w:t>
            </w:r>
          </w:p>
          <w:p>
            <w:pPr>
              <w:spacing w:line="360" w:lineRule="auto"/>
              <w:ind w:firstLine="420" w:firstLineChars="200"/>
              <w:rPr>
                <w:rFonts w:hint="eastAsia" w:ascii="宋体" w:hAnsi="宋体" w:cs="宋体"/>
                <w:szCs w:val="24"/>
              </w:rPr>
            </w:pPr>
            <w:r>
              <w:rPr>
                <w:rFonts w:hint="eastAsia" w:ascii="宋体" w:hAnsi="宋体" w:cs="宋体"/>
                <w:szCs w:val="24"/>
              </w:rPr>
              <w:t>纠正措施：</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1.</w:t>
            </w:r>
            <w:r>
              <w:rPr>
                <w:rFonts w:hint="eastAsia" w:ascii="宋体" w:hAnsi="宋体" w:cs="宋体"/>
                <w:szCs w:val="24"/>
                <w:lang w:eastAsia="zh-CN"/>
              </w:rPr>
              <w:t>对相关人员进行标准条款</w:t>
            </w:r>
            <w:r>
              <w:rPr>
                <w:rFonts w:hint="eastAsia" w:ascii="宋体" w:hAnsi="宋体" w:cs="宋体"/>
                <w:szCs w:val="24"/>
                <w:lang w:val="en-US" w:eastAsia="zh-CN"/>
              </w:rPr>
              <w:t>8.4进行学习。</w:t>
            </w:r>
          </w:p>
          <w:p>
            <w:pPr>
              <w:spacing w:line="360" w:lineRule="auto"/>
              <w:ind w:firstLine="420" w:firstLineChars="200"/>
              <w:rPr>
                <w:rFonts w:hint="eastAsia" w:ascii="宋体" w:hAnsi="宋体" w:cs="宋体"/>
                <w:szCs w:val="24"/>
                <w:lang w:val="en-US" w:eastAsia="zh-CN"/>
              </w:rPr>
            </w:pPr>
            <w:r>
              <w:rPr>
                <w:rFonts w:hint="eastAsia" w:ascii="宋体" w:hAnsi="宋体" w:cs="宋体"/>
                <w:szCs w:val="24"/>
                <w:lang w:val="en-US" w:eastAsia="zh-CN"/>
              </w:rPr>
              <w:t>2.安排人员进行10月份下旬的培训计划进行培训。</w:t>
            </w:r>
          </w:p>
          <w:p>
            <w:pPr>
              <w:spacing w:line="360" w:lineRule="auto"/>
              <w:ind w:firstLine="420" w:firstLineChars="200"/>
              <w:rPr>
                <w:rFonts w:hint="eastAsia" w:ascii="宋体" w:hAnsi="宋体" w:cs="宋体"/>
                <w:szCs w:val="24"/>
              </w:rPr>
            </w:pPr>
            <w:r>
              <w:rPr>
                <w:rFonts w:hint="eastAsia" w:ascii="宋体" w:hAnsi="宋体" w:cs="宋体"/>
                <w:szCs w:val="24"/>
              </w:rPr>
              <w:t>纠正措施完成情况：已按纠正措施实施并验证有效。</w:t>
            </w:r>
          </w:p>
          <w:p>
            <w:pPr>
              <w:spacing w:line="360" w:lineRule="auto"/>
              <w:ind w:firstLine="420" w:firstLineChars="200"/>
              <w:rPr>
                <w:rFonts w:hint="eastAsia" w:ascii="宋体" w:hAnsi="宋体" w:cs="宋体"/>
                <w:szCs w:val="24"/>
              </w:rPr>
            </w:pPr>
            <w:r>
              <w:rPr>
                <w:rFonts w:hint="eastAsia" w:ascii="宋体" w:hAnsi="宋体" w:cs="宋体"/>
                <w:szCs w:val="24"/>
              </w:rPr>
              <w:t>措施验证：有效</w:t>
            </w:r>
          </w:p>
          <w:p>
            <w:pPr>
              <w:spacing w:line="360" w:lineRule="auto"/>
              <w:ind w:firstLine="420" w:firstLineChars="200"/>
              <w:rPr>
                <w:rFonts w:ascii="宋体" w:hAnsi="宋体" w:cs="宋体"/>
                <w:szCs w:val="24"/>
              </w:rPr>
            </w:pPr>
            <w:r>
              <w:rPr>
                <w:rFonts w:hint="eastAsia" w:ascii="宋体" w:hAnsi="宋体" w:cs="宋体"/>
                <w:szCs w:val="24"/>
              </w:rPr>
              <w:t>验证人：</w:t>
            </w:r>
            <w:r>
              <w:rPr>
                <w:rFonts w:hint="eastAsia" w:ascii="宋体" w:hAnsi="宋体" w:cs="宋体"/>
                <w:szCs w:val="24"/>
                <w:lang w:val="en-US" w:eastAsia="zh-CN"/>
              </w:rPr>
              <w:t>冯晟</w:t>
            </w:r>
          </w:p>
        </w:tc>
        <w:tc>
          <w:tcPr>
            <w:tcW w:w="1282" w:type="dxa"/>
            <w:noWrap w:val="0"/>
            <w:vAlign w:val="top"/>
          </w:tcPr>
          <w:p>
            <w:r>
              <w:rPr>
                <w:rFonts w:hint="eastAsia"/>
                <w:lang w:val="en-US" w:eastAsia="zh-CN"/>
              </w:rPr>
              <w:t>合格</w:t>
            </w:r>
          </w:p>
        </w:tc>
      </w:tr>
    </w:tbl>
    <w:p>
      <w:pPr>
        <w:pStyle w:val="10"/>
        <w:rPr>
          <w:rFonts w:hint="eastAsia"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6"/>
        <w:gridCol w:w="887"/>
        <w:gridCol w:w="9444"/>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07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87" w:type="dxa"/>
            <w:vMerge w:val="restart"/>
            <w:vAlign w:val="center"/>
          </w:tcPr>
          <w:p>
            <w:pPr>
              <w:rPr>
                <w:sz w:val="24"/>
                <w:szCs w:val="24"/>
              </w:rPr>
            </w:pPr>
            <w:r>
              <w:rPr>
                <w:rFonts w:hint="eastAsia"/>
                <w:sz w:val="24"/>
                <w:szCs w:val="24"/>
              </w:rPr>
              <w:t>涉及</w:t>
            </w:r>
          </w:p>
          <w:p>
            <w:r>
              <w:rPr>
                <w:rFonts w:hint="eastAsia"/>
                <w:sz w:val="24"/>
                <w:szCs w:val="24"/>
              </w:rPr>
              <w:t>条款</w:t>
            </w:r>
          </w:p>
        </w:tc>
        <w:tc>
          <w:tcPr>
            <w:tcW w:w="9444" w:type="dxa"/>
            <w:vAlign w:val="center"/>
          </w:tcPr>
          <w:p>
            <w:pPr>
              <w:rPr>
                <w:rFonts w:hint="default"/>
                <w:sz w:val="24"/>
                <w:szCs w:val="24"/>
                <w:lang w:val="en-US"/>
              </w:rPr>
            </w:pPr>
            <w:r>
              <w:rPr>
                <w:rFonts w:hint="eastAsia"/>
                <w:sz w:val="24"/>
                <w:szCs w:val="24"/>
              </w:rPr>
              <w:t>受审核部门：</w:t>
            </w:r>
            <w:r>
              <w:rPr>
                <w:rFonts w:hint="eastAsia"/>
                <w:sz w:val="24"/>
                <w:szCs w:val="24"/>
                <w:lang w:eastAsia="zh-CN"/>
              </w:rPr>
              <w:t>市场营销部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val="en-US" w:eastAsia="zh-CN"/>
              </w:rPr>
              <w:t>汪斌</w:t>
            </w:r>
            <w:r>
              <w:rPr>
                <w:rFonts w:hint="eastAsia"/>
                <w:sz w:val="24"/>
                <w:szCs w:val="24"/>
              </w:rPr>
              <w:t xml:space="preserve">     陪同人员</w:t>
            </w:r>
            <w:r>
              <w:rPr>
                <w:rFonts w:hint="eastAsia"/>
                <w:sz w:val="24"/>
                <w:szCs w:val="24"/>
                <w:lang w:eastAsia="zh-CN"/>
              </w:rPr>
              <w:t>：</w:t>
            </w:r>
            <w:r>
              <w:rPr>
                <w:rFonts w:hint="eastAsia"/>
                <w:sz w:val="24"/>
                <w:szCs w:val="24"/>
                <w:lang w:val="en-US" w:eastAsia="zh-CN"/>
              </w:rPr>
              <w:t>冯晟</w:t>
            </w:r>
          </w:p>
        </w:tc>
        <w:tc>
          <w:tcPr>
            <w:tcW w:w="130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076" w:type="dxa"/>
            <w:vMerge w:val="continue"/>
            <w:vAlign w:val="center"/>
          </w:tcPr>
          <w:p/>
        </w:tc>
        <w:tc>
          <w:tcPr>
            <w:tcW w:w="887" w:type="dxa"/>
            <w:vMerge w:val="continue"/>
            <w:vAlign w:val="center"/>
          </w:tcPr>
          <w:p/>
        </w:tc>
        <w:tc>
          <w:tcPr>
            <w:tcW w:w="944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审核时间：20</w:t>
            </w:r>
            <w:r>
              <w:rPr>
                <w:rFonts w:hint="eastAsia"/>
                <w:sz w:val="24"/>
                <w:szCs w:val="24"/>
                <w:lang w:val="en-US" w:eastAsia="zh-CN"/>
              </w:rPr>
              <w:t>21</w:t>
            </w:r>
            <w:r>
              <w:rPr>
                <w:rFonts w:hint="eastAsia"/>
                <w:sz w:val="24"/>
                <w:szCs w:val="24"/>
              </w:rPr>
              <w:t>.</w:t>
            </w:r>
            <w:r>
              <w:rPr>
                <w:rFonts w:hint="eastAsia"/>
                <w:sz w:val="24"/>
                <w:szCs w:val="24"/>
                <w:lang w:val="en-US" w:eastAsia="zh-CN"/>
              </w:rPr>
              <w:t>11.15</w:t>
            </w:r>
          </w:p>
        </w:tc>
        <w:tc>
          <w:tcPr>
            <w:tcW w:w="13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076" w:type="dxa"/>
            <w:vMerge w:val="continue"/>
            <w:vAlign w:val="center"/>
          </w:tcPr>
          <w:p/>
        </w:tc>
        <w:tc>
          <w:tcPr>
            <w:tcW w:w="887" w:type="dxa"/>
            <w:vMerge w:val="continue"/>
            <w:vAlign w:val="center"/>
          </w:tcPr>
          <w:p/>
        </w:tc>
        <w:tc>
          <w:tcPr>
            <w:tcW w:w="9444" w:type="dxa"/>
            <w:vAlign w:val="center"/>
          </w:tcPr>
          <w:p>
            <w:pPr>
              <w:rPr>
                <w:sz w:val="24"/>
                <w:szCs w:val="24"/>
              </w:rPr>
            </w:pPr>
            <w:r>
              <w:rPr>
                <w:rFonts w:hint="eastAsia"/>
                <w:sz w:val="24"/>
                <w:szCs w:val="24"/>
              </w:rPr>
              <w:t>审核条款：</w:t>
            </w:r>
          </w:p>
        </w:tc>
        <w:tc>
          <w:tcPr>
            <w:tcW w:w="13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076"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887" w:type="dxa"/>
          </w:tcPr>
          <w:p>
            <w:pPr>
              <w:rPr>
                <w:rFonts w:ascii="宋体" w:hAnsi="宋体" w:cs="新宋体"/>
                <w:szCs w:val="21"/>
              </w:rPr>
            </w:pPr>
            <w:r>
              <w:rPr>
                <w:rFonts w:hint="eastAsia" w:ascii="宋体" w:hAnsi="宋体" w:cs="宋体"/>
                <w:b/>
                <w:szCs w:val="21"/>
              </w:rPr>
              <w:t>5.3</w:t>
            </w:r>
          </w:p>
        </w:tc>
        <w:tc>
          <w:tcPr>
            <w:tcW w:w="944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市场营销部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302"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3076"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b/>
                <w:szCs w:val="21"/>
              </w:rPr>
            </w:pPr>
            <w:r>
              <w:rPr>
                <w:rFonts w:hint="eastAsia" w:ascii="宋体" w:hAnsi="宋体" w:cs="宋体"/>
                <w:color w:val="000000"/>
                <w:szCs w:val="21"/>
              </w:rPr>
              <w:t>（含6.2.1/6.2.2）</w:t>
            </w:r>
          </w:p>
        </w:tc>
        <w:tc>
          <w:tcPr>
            <w:tcW w:w="887" w:type="dxa"/>
          </w:tcPr>
          <w:p>
            <w:pPr>
              <w:rPr>
                <w:rFonts w:ascii="宋体" w:hAnsi="宋体" w:cs="新宋体"/>
                <w:szCs w:val="21"/>
              </w:rPr>
            </w:pPr>
            <w:r>
              <w:rPr>
                <w:rFonts w:hint="eastAsia" w:ascii="宋体" w:hAnsi="宋体" w:cs="宋体"/>
                <w:b/>
                <w:szCs w:val="21"/>
              </w:rPr>
              <w:t>6.2</w:t>
            </w:r>
          </w:p>
        </w:tc>
        <w:tc>
          <w:tcPr>
            <w:tcW w:w="9444" w:type="dxa"/>
          </w:tcPr>
          <w:p>
            <w:pPr>
              <w:spacing w:line="360" w:lineRule="auto"/>
              <w:ind w:firstLine="420" w:firstLineChars="200"/>
              <w:rPr>
                <w:rFonts w:hint="eastAsia"/>
                <w:sz w:val="24"/>
                <w:szCs w:val="24"/>
              </w:rPr>
            </w:pPr>
            <w:r>
              <w:rPr>
                <w:rFonts w:hint="eastAsia" w:ascii="宋体" w:hAnsi="宋体" w:cs="宋体"/>
                <w:szCs w:val="21"/>
                <w:lang w:eastAsia="zh-CN"/>
              </w:rPr>
              <w:t>市场营销部</w:t>
            </w:r>
            <w:r>
              <w:rPr>
                <w:rFonts w:hint="eastAsia" w:ascii="宋体" w:hAnsi="宋体" w:cs="宋体"/>
                <w:szCs w:val="21"/>
              </w:rPr>
              <w:t>负</w:t>
            </w:r>
            <w:r>
              <w:rPr>
                <w:rFonts w:hint="eastAsia" w:ascii="宋体" w:hAnsi="宋体" w:cs="宋体"/>
                <w:szCs w:val="21"/>
                <w:lang w:eastAsia="zh-CN"/>
              </w:rPr>
              <w:t>责人：</w:t>
            </w:r>
            <w:r>
              <w:rPr>
                <w:rFonts w:hint="eastAsia" w:ascii="宋体" w:hAnsi="宋体" w:cs="宋体"/>
                <w:szCs w:val="21"/>
                <w:lang w:val="en-US" w:eastAsia="zh-CN"/>
              </w:rPr>
              <w:t>汪斌</w:t>
            </w:r>
            <w:r>
              <w:rPr>
                <w:rFonts w:hint="eastAsia" w:ascii="宋体" w:hAnsi="宋体" w:cs="宋体"/>
                <w:szCs w:val="21"/>
                <w:lang w:eastAsia="zh-CN"/>
              </w:rPr>
              <w:t xml:space="preserve">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查《部门质量目标测量报告》 </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测量时间：20</w:t>
            </w:r>
            <w:r>
              <w:rPr>
                <w:rFonts w:hint="eastAsia" w:ascii="宋体" w:hAnsi="宋体" w:cs="宋体"/>
                <w:szCs w:val="21"/>
                <w:lang w:val="en-US" w:eastAsia="zh-CN"/>
              </w:rPr>
              <w:t>21.1</w:t>
            </w:r>
            <w:r>
              <w:rPr>
                <w:rFonts w:hint="eastAsia" w:ascii="宋体" w:hAnsi="宋体" w:cs="宋体"/>
                <w:szCs w:val="21"/>
                <w:lang w:eastAsia="zh-CN"/>
              </w:rPr>
              <w:t>月-</w:t>
            </w:r>
            <w:r>
              <w:rPr>
                <w:rFonts w:hint="eastAsia" w:ascii="宋体" w:hAnsi="宋体" w:cs="宋体"/>
                <w:szCs w:val="21"/>
                <w:lang w:val="en-US" w:eastAsia="zh-CN"/>
              </w:rPr>
              <w:t>9</w:t>
            </w:r>
            <w:r>
              <w:rPr>
                <w:rFonts w:hint="eastAsia" w:ascii="宋体" w:hAnsi="宋体" w:cs="宋体"/>
                <w:szCs w:val="21"/>
                <w:lang w:eastAsia="zh-CN"/>
              </w:rPr>
              <w:t>月</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1、软件开发合格率100%                  实测：100%</w:t>
            </w:r>
          </w:p>
          <w:p>
            <w:pPr>
              <w:spacing w:line="360" w:lineRule="auto"/>
              <w:ind w:firstLine="420" w:firstLineChars="200"/>
              <w:rPr>
                <w:rFonts w:hint="eastAsia" w:ascii="宋体" w:hAnsi="宋体" w:cs="宋体"/>
                <w:szCs w:val="21"/>
                <w:lang w:eastAsia="zh-CN"/>
              </w:rPr>
            </w:pPr>
            <w:r>
              <w:rPr>
                <w:rFonts w:hint="eastAsia" w:ascii="宋体" w:hAnsi="宋体" w:cs="宋体"/>
                <w:szCs w:val="21"/>
                <w:lang w:val="en-US" w:eastAsia="zh-CN"/>
              </w:rPr>
              <w:t>2、</w:t>
            </w:r>
            <w:r>
              <w:rPr>
                <w:rFonts w:hint="eastAsia" w:ascii="宋体" w:hAnsi="宋体" w:cs="宋体"/>
                <w:szCs w:val="21"/>
                <w:lang w:eastAsia="zh-CN"/>
              </w:rPr>
              <w:t>顾客满意度</w:t>
            </w:r>
            <w:r>
              <w:rPr>
                <w:rFonts w:hint="eastAsia" w:ascii="宋体" w:hAnsi="宋体" w:cs="宋体"/>
                <w:szCs w:val="21"/>
                <w:lang w:val="en-US" w:eastAsia="zh-CN"/>
              </w:rPr>
              <w:t>90</w:t>
            </w:r>
            <w:r>
              <w:rPr>
                <w:rFonts w:hint="eastAsia" w:ascii="宋体" w:hAnsi="宋体" w:cs="宋体"/>
                <w:szCs w:val="21"/>
                <w:lang w:eastAsia="zh-CN"/>
              </w:rPr>
              <w:t>分以上</w:t>
            </w:r>
            <w:r>
              <w:rPr>
                <w:rFonts w:hint="eastAsia" w:ascii="宋体" w:hAnsi="宋体" w:cs="宋体"/>
                <w:szCs w:val="21"/>
                <w:lang w:val="en-US" w:eastAsia="zh-CN"/>
              </w:rPr>
              <w:t xml:space="preserve">                  实测：98%</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lang w:eastAsia="zh-CN"/>
              </w:rPr>
              <w:t>合同履约率100%</w:t>
            </w:r>
            <w:r>
              <w:rPr>
                <w:rFonts w:hint="eastAsia" w:ascii="宋体" w:hAnsi="宋体" w:cs="宋体"/>
                <w:szCs w:val="21"/>
                <w:lang w:val="en-US" w:eastAsia="zh-CN"/>
              </w:rPr>
              <w:t xml:space="preserve">                      实测：100%</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302"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3076"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887" w:type="dxa"/>
          </w:tcPr>
          <w:p>
            <w:pPr>
              <w:rPr>
                <w:rFonts w:ascii="宋体" w:hAnsi="宋体" w:cs="新宋体"/>
                <w:szCs w:val="21"/>
              </w:rPr>
            </w:pPr>
            <w:r>
              <w:rPr>
                <w:rFonts w:hint="eastAsia" w:ascii="宋体" w:hAnsi="宋体" w:cs="宋体"/>
                <w:b/>
                <w:szCs w:val="21"/>
              </w:rPr>
              <w:t>8.2.1</w:t>
            </w:r>
          </w:p>
        </w:tc>
        <w:tc>
          <w:tcPr>
            <w:tcW w:w="9444" w:type="dxa"/>
          </w:tcPr>
          <w:p>
            <w:pPr>
              <w:spacing w:line="360" w:lineRule="auto"/>
              <w:ind w:firstLine="420" w:firstLineChars="200"/>
              <w:rPr>
                <w:rFonts w:ascii="宋体" w:hAnsi="宋体"/>
                <w:szCs w:val="21"/>
              </w:rPr>
            </w:pPr>
            <w:r>
              <w:rPr>
                <w:rFonts w:hint="eastAsia" w:ascii="宋体" w:hAnsi="宋体" w:cs="宋体"/>
                <w:color w:val="000000"/>
                <w:szCs w:val="21"/>
              </w:rPr>
              <w:t>组织按</w:t>
            </w:r>
            <w:r>
              <w:rPr>
                <w:rFonts w:hint="eastAsia" w:ascii="宋体" w:hAnsi="宋体" w:cs="宋体"/>
                <w:color w:val="000000"/>
                <w:szCs w:val="21"/>
                <w:lang w:eastAsia="zh-CN"/>
              </w:rPr>
              <w:t>管理手册</w:t>
            </w:r>
            <w:r>
              <w:rPr>
                <w:rFonts w:hint="eastAsia" w:ascii="宋体" w:hAnsi="宋体" w:cs="宋体"/>
                <w:color w:val="000000"/>
                <w:szCs w:val="21"/>
              </w:rPr>
              <w:t>制定并实施顾客沟通的要求，</w:t>
            </w:r>
            <w:r>
              <w:rPr>
                <w:rFonts w:hint="eastAsia" w:ascii="宋体" w:hAnsi="宋体" w:cs="宋体"/>
                <w:color w:val="000000"/>
                <w:szCs w:val="21"/>
                <w:lang w:eastAsia="zh-CN"/>
              </w:rPr>
              <w:t>市场营销部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302"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76"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887" w:type="dxa"/>
          </w:tcPr>
          <w:p>
            <w:pPr>
              <w:rPr>
                <w:rFonts w:ascii="宋体" w:hAnsi="宋体" w:cs="新宋体"/>
                <w:szCs w:val="21"/>
              </w:rPr>
            </w:pPr>
            <w:r>
              <w:rPr>
                <w:rFonts w:hint="eastAsia" w:ascii="宋体" w:hAnsi="宋体" w:cs="宋体"/>
                <w:b/>
                <w:szCs w:val="21"/>
              </w:rPr>
              <w:t>8.2.2</w:t>
            </w:r>
          </w:p>
        </w:tc>
        <w:tc>
          <w:tcPr>
            <w:tcW w:w="944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w:t>
            </w:r>
            <w:r>
              <w:rPr>
                <w:rFonts w:hint="eastAsia" w:ascii="宋体" w:hAnsi="宋体" w:cs="宋体"/>
                <w:szCs w:val="21"/>
                <w:lang w:eastAsia="zh-CN"/>
              </w:rPr>
              <w:t>管理手册</w:t>
            </w:r>
            <w:r>
              <w:rPr>
                <w:rFonts w:hint="eastAsia" w:ascii="宋体" w:hAnsi="宋体" w:cs="宋体"/>
                <w:szCs w:val="21"/>
              </w:rPr>
              <w:t>及《</w:t>
            </w:r>
            <w:r>
              <w:rPr>
                <w:rFonts w:hint="eastAsia"/>
                <w:szCs w:val="21"/>
              </w:rPr>
              <w:t>与顾客有关过程控制程序</w:t>
            </w:r>
            <w:r>
              <w:rPr>
                <w:rFonts w:hint="eastAsia" w:ascii="宋体" w:hAnsi="宋体" w:cs="宋体"/>
                <w:szCs w:val="21"/>
              </w:rPr>
              <w:t>》规定，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rPr>
              <w:t>询问负责人，</w:t>
            </w:r>
            <w:r>
              <w:rPr>
                <w:rFonts w:hint="eastAsia" w:ascii="宋体" w:hAnsi="宋体" w:cs="宋体"/>
                <w:color w:val="000000"/>
                <w:szCs w:val="21"/>
                <w:lang w:eastAsia="zh-CN"/>
              </w:rPr>
              <w:t>公司都是以签订销售合同来</w:t>
            </w:r>
            <w:r>
              <w:rPr>
                <w:rFonts w:hint="eastAsia" w:ascii="宋体" w:hAnsi="宋体" w:cs="宋体"/>
                <w:color w:val="000000"/>
                <w:szCs w:val="21"/>
              </w:rPr>
              <w:t>确定产品</w:t>
            </w:r>
            <w:r>
              <w:rPr>
                <w:rFonts w:hint="eastAsia" w:ascii="宋体" w:hAnsi="宋体" w:cs="宋体"/>
                <w:color w:val="000000"/>
                <w:szCs w:val="21"/>
                <w:lang w:eastAsia="zh-CN"/>
              </w:rPr>
              <w:t>名称、</w:t>
            </w:r>
            <w:r>
              <w:rPr>
                <w:rFonts w:hint="eastAsia" w:ascii="宋体" w:hAnsi="宋体" w:cs="宋体"/>
                <w:color w:val="000000"/>
                <w:szCs w:val="21"/>
              </w:rPr>
              <w:t>价格</w:t>
            </w:r>
            <w:r>
              <w:rPr>
                <w:rFonts w:hint="eastAsia" w:ascii="宋体" w:hAnsi="宋体" w:cs="宋体"/>
                <w:color w:val="000000"/>
                <w:szCs w:val="21"/>
                <w:lang w:eastAsia="zh-CN"/>
              </w:rPr>
              <w:t>、技术要求、运输等</w:t>
            </w:r>
            <w:r>
              <w:rPr>
                <w:rFonts w:hint="eastAsia" w:ascii="宋体" w:hAnsi="宋体" w:cs="宋体"/>
                <w:color w:val="000000"/>
                <w:szCs w:val="21"/>
              </w:rPr>
              <w:t>相关信息，</w:t>
            </w:r>
            <w:r>
              <w:rPr>
                <w:rFonts w:hint="eastAsia" w:ascii="宋体" w:hAnsi="宋体" w:cs="宋体"/>
                <w:color w:val="000000"/>
                <w:szCs w:val="21"/>
                <w:lang w:eastAsia="zh-CN"/>
              </w:rPr>
              <w:t>以</w:t>
            </w:r>
            <w:r>
              <w:rPr>
                <w:rFonts w:hint="eastAsia" w:ascii="宋体" w:hAnsi="宋体" w:cs="宋体"/>
                <w:color w:val="000000"/>
                <w:szCs w:val="21"/>
              </w:rPr>
              <w:t>销售</w:t>
            </w:r>
            <w:r>
              <w:rPr>
                <w:rFonts w:hint="eastAsia" w:ascii="宋体" w:hAnsi="宋体" w:cs="宋体"/>
                <w:color w:val="000000"/>
                <w:szCs w:val="21"/>
                <w:highlight w:val="none"/>
              </w:rPr>
              <w:t>合同</w:t>
            </w:r>
            <w:r>
              <w:rPr>
                <w:rFonts w:hint="eastAsia" w:ascii="宋体" w:hAnsi="宋体" w:cs="宋体"/>
                <w:color w:val="000000"/>
                <w:szCs w:val="21"/>
                <w:highlight w:val="none"/>
                <w:lang w:eastAsia="zh-CN"/>
              </w:rPr>
              <w:t>来传递</w:t>
            </w:r>
            <w:r>
              <w:rPr>
                <w:rFonts w:hint="eastAsia" w:ascii="宋体" w:hAnsi="宋体" w:cs="宋体"/>
                <w:color w:val="000000"/>
                <w:szCs w:val="21"/>
                <w:highlight w:val="none"/>
              </w:rPr>
              <w:t>顾客采购信息。</w:t>
            </w:r>
          </w:p>
          <w:p>
            <w:pPr>
              <w:widowControl/>
              <w:spacing w:line="360" w:lineRule="auto"/>
              <w:jc w:val="left"/>
              <w:rPr>
                <w:rFonts w:ascii="宋体" w:hAnsi="宋体" w:cs="宋体"/>
                <w:bCs/>
                <w:szCs w:val="24"/>
                <w:highlight w:val="none"/>
              </w:rPr>
            </w:pPr>
            <w:r>
              <w:rPr>
                <w:rFonts w:hint="eastAsia" w:ascii="宋体" w:hAnsi="宋体" w:cs="宋体"/>
                <w:bCs/>
                <w:szCs w:val="24"/>
                <w:highlight w:val="none"/>
              </w:rPr>
              <w:t>抽查情况如下：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抽</w:t>
            </w:r>
            <w:r>
              <w:rPr>
                <w:rFonts w:hint="eastAsia" w:ascii="宋体" w:hAnsi="宋体" w:cs="宋体"/>
                <w:color w:val="000000"/>
                <w:szCs w:val="21"/>
                <w:highlight w:val="none"/>
                <w:lang w:eastAsia="zh-CN"/>
              </w:rPr>
              <w:t>销售合同</w:t>
            </w:r>
            <w:r>
              <w:rPr>
                <w:rFonts w:hint="eastAsia" w:ascii="宋体" w:hAnsi="宋体" w:cs="宋体"/>
                <w:color w:val="000000"/>
                <w:szCs w:val="21"/>
                <w:highlight w:val="none"/>
              </w:rPr>
              <w:t>：</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顾客：</w:t>
            </w:r>
            <w:r>
              <w:rPr>
                <w:rFonts w:hint="eastAsia" w:ascii="宋体" w:hAnsi="宋体" w:cs="宋体"/>
                <w:color w:val="000000"/>
                <w:szCs w:val="21"/>
                <w:highlight w:val="none"/>
                <w:lang w:val="en-US" w:eastAsia="zh-CN"/>
              </w:rPr>
              <w:t>重庆敏测智能装备技术有</w:t>
            </w:r>
            <w:bookmarkStart w:id="4" w:name="_GoBack"/>
            <w:bookmarkEnd w:id="4"/>
            <w:r>
              <w:rPr>
                <w:rFonts w:hint="eastAsia" w:ascii="宋体" w:hAnsi="宋体" w:cs="宋体"/>
                <w:color w:val="000000"/>
                <w:szCs w:val="21"/>
                <w:highlight w:val="none"/>
                <w:lang w:val="en-US" w:eastAsia="zh-CN"/>
              </w:rPr>
              <w:t>限公司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 xml:space="preserve"> 销售产品：</w:t>
            </w:r>
            <w:r>
              <w:rPr>
                <w:rFonts w:hint="eastAsia" w:ascii="宋体" w:hAnsi="宋体" w:cs="宋体"/>
                <w:color w:val="000000"/>
                <w:szCs w:val="21"/>
                <w:highlight w:val="none"/>
                <w:lang w:val="en-US" w:eastAsia="zh-CN"/>
              </w:rPr>
              <w:t>信号线（ZWCAB）</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时间：202</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.0</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lang w:eastAsia="zh-CN"/>
              </w:rPr>
              <w:t>.2</w:t>
            </w:r>
            <w:r>
              <w:rPr>
                <w:rFonts w:hint="eastAsia" w:ascii="宋体" w:hAnsi="宋体" w:cs="宋体"/>
                <w:color w:val="000000"/>
                <w:szCs w:val="21"/>
                <w:highlight w:val="none"/>
                <w:lang w:val="en-US" w:eastAsia="zh-CN"/>
              </w:rPr>
              <w:t>8</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合同明确了产品名称、单位、采购数量、到货日期、执行技术标准、违约等。</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顾客：北京</w:t>
            </w:r>
            <w:r>
              <w:rPr>
                <w:rFonts w:hint="eastAsia" w:ascii="宋体" w:hAnsi="宋体" w:cs="宋体"/>
                <w:color w:val="000000"/>
                <w:szCs w:val="21"/>
                <w:highlight w:val="none"/>
                <w:lang w:val="en-US" w:eastAsia="zh-CN"/>
              </w:rPr>
              <w:t>北方车辆智能装备技术</w:t>
            </w:r>
            <w:r>
              <w:rPr>
                <w:rFonts w:hint="eastAsia" w:ascii="宋体" w:hAnsi="宋体" w:cs="宋体"/>
                <w:color w:val="000000"/>
                <w:szCs w:val="21"/>
                <w:highlight w:val="none"/>
                <w:lang w:eastAsia="zh-CN"/>
              </w:rPr>
              <w:t>有限公司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 xml:space="preserve">   销售产品：</w:t>
            </w:r>
            <w:r>
              <w:rPr>
                <w:rFonts w:hint="eastAsia" w:ascii="宋体" w:hAnsi="宋体" w:cs="宋体"/>
                <w:color w:val="000000"/>
                <w:szCs w:val="21"/>
                <w:highlight w:val="none"/>
                <w:lang w:val="en-US" w:eastAsia="zh-CN"/>
              </w:rPr>
              <w:t>微信号采集系统定制开发</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时间：20</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lang w:eastAsia="zh-CN"/>
              </w:rPr>
              <w:t>.0</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.2</w:t>
            </w:r>
            <w:r>
              <w:rPr>
                <w:rFonts w:hint="eastAsia" w:ascii="宋体" w:hAnsi="宋体" w:cs="宋体"/>
                <w:color w:val="000000"/>
                <w:szCs w:val="21"/>
                <w:highlight w:val="none"/>
                <w:lang w:val="en-US" w:eastAsia="zh-CN"/>
              </w:rPr>
              <w:t>8</w:t>
            </w:r>
          </w:p>
          <w:p>
            <w:pPr>
              <w:spacing w:line="360" w:lineRule="auto"/>
              <w:ind w:firstLine="420" w:firstLineChars="200"/>
              <w:rPr>
                <w:rFonts w:hint="eastAsia" w:ascii="宋体" w:hAnsi="宋体" w:cs="宋体"/>
                <w:color w:val="000000"/>
                <w:szCs w:val="21"/>
                <w:highlight w:val="none"/>
                <w:lang w:eastAsia="zh-CN"/>
              </w:rPr>
            </w:pPr>
            <w:r>
              <w:rPr>
                <w:rFonts w:hint="eastAsia" w:ascii="宋体" w:hAnsi="宋体" w:cs="宋体"/>
                <w:color w:val="000000"/>
                <w:szCs w:val="21"/>
                <w:highlight w:val="none"/>
                <w:lang w:eastAsia="zh-CN"/>
              </w:rPr>
              <w:t>合同明确了产品名称、单位、采购数量、到货日期、执行技术标准、违约等。</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lang w:eastAsia="zh-CN"/>
              </w:rPr>
              <w:t>顾客：重庆</w:t>
            </w:r>
            <w:r>
              <w:rPr>
                <w:rFonts w:hint="eastAsia" w:ascii="宋体" w:hAnsi="宋体" w:cs="宋体"/>
                <w:color w:val="000000"/>
                <w:szCs w:val="21"/>
                <w:highlight w:val="none"/>
                <w:lang w:val="en-US" w:eastAsia="zh-CN"/>
              </w:rPr>
              <w:t>云天化天聚新材料</w:t>
            </w:r>
            <w:r>
              <w:rPr>
                <w:rFonts w:hint="eastAsia" w:ascii="宋体" w:hAnsi="宋体" w:cs="宋体"/>
                <w:color w:val="000000"/>
                <w:szCs w:val="21"/>
                <w:highlight w:val="none"/>
                <w:lang w:eastAsia="zh-CN"/>
              </w:rPr>
              <w:t>有限公司</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 xml:space="preserve">   销售产品：</w:t>
            </w:r>
            <w:r>
              <w:rPr>
                <w:rFonts w:hint="eastAsia"/>
                <w:szCs w:val="22"/>
                <w:lang w:val="en-US" w:eastAsia="zh-CN"/>
              </w:rPr>
              <w:t>无线加速度传感器、无线数据采集站、卓微便携式离/在线状态监测系统、卓微科技平台等</w:t>
            </w:r>
          </w:p>
          <w:p>
            <w:pPr>
              <w:spacing w:line="360" w:lineRule="auto"/>
              <w:ind w:firstLine="420" w:firstLineChars="200"/>
              <w:rPr>
                <w:rFonts w:hint="default" w:ascii="宋体" w:hAnsi="宋体" w:cs="宋体"/>
                <w:color w:val="000000"/>
                <w:szCs w:val="21"/>
                <w:highlight w:val="none"/>
                <w:lang w:val="en-US" w:eastAsia="zh-CN"/>
              </w:rPr>
            </w:pPr>
            <w:r>
              <w:rPr>
                <w:rFonts w:hint="eastAsia" w:ascii="宋体" w:hAnsi="宋体" w:cs="宋体"/>
                <w:color w:val="000000"/>
                <w:szCs w:val="21"/>
                <w:highlight w:val="none"/>
                <w:lang w:eastAsia="zh-CN"/>
              </w:rPr>
              <w:t>时间：202</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.0</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02</w:t>
            </w:r>
          </w:p>
          <w:p>
            <w:pPr>
              <w:spacing w:line="360" w:lineRule="auto"/>
              <w:ind w:firstLine="420" w:firstLineChars="200"/>
              <w:rPr>
                <w:rFonts w:ascii="宋体" w:hAnsi="宋体"/>
                <w:szCs w:val="21"/>
              </w:rPr>
            </w:pPr>
            <w:r>
              <w:rPr>
                <w:rFonts w:hint="eastAsia" w:ascii="宋体" w:hAnsi="宋体" w:cs="宋体"/>
                <w:color w:val="000000"/>
                <w:szCs w:val="21"/>
                <w:highlight w:val="none"/>
                <w:lang w:eastAsia="zh-CN"/>
              </w:rPr>
              <w:t>合同</w:t>
            </w:r>
            <w:r>
              <w:rPr>
                <w:rFonts w:hint="eastAsia" w:ascii="宋体" w:hAnsi="宋体" w:cs="宋体"/>
                <w:color w:val="000000"/>
                <w:szCs w:val="21"/>
                <w:highlight w:val="none"/>
              </w:rPr>
              <w:t>明确了产品</w:t>
            </w:r>
            <w:r>
              <w:rPr>
                <w:rFonts w:hint="eastAsia" w:ascii="宋体" w:hAnsi="宋体" w:cs="宋体"/>
                <w:color w:val="000000"/>
                <w:szCs w:val="21"/>
                <w:highlight w:val="none"/>
                <w:lang w:eastAsia="zh-CN"/>
              </w:rPr>
              <w:t>名称、</w:t>
            </w:r>
            <w:r>
              <w:rPr>
                <w:rFonts w:hint="eastAsia" w:ascii="宋体" w:hAnsi="宋体" w:cs="宋体"/>
                <w:color w:val="000000"/>
                <w:szCs w:val="21"/>
                <w:highlight w:val="none"/>
              </w:rPr>
              <w:t>单位、采购数量、到货日期、</w:t>
            </w:r>
            <w:r>
              <w:rPr>
                <w:rFonts w:hint="eastAsia" w:ascii="宋体" w:hAnsi="宋体" w:cs="宋体"/>
                <w:color w:val="000000"/>
                <w:szCs w:val="21"/>
                <w:highlight w:val="none"/>
                <w:lang w:eastAsia="zh-CN"/>
              </w:rPr>
              <w:t>执行技术标准、违约</w:t>
            </w:r>
            <w:r>
              <w:rPr>
                <w:rFonts w:hint="eastAsia" w:ascii="宋体" w:hAnsi="宋体" w:cs="宋体"/>
                <w:color w:val="000000"/>
                <w:szCs w:val="21"/>
                <w:highlight w:val="none"/>
              </w:rPr>
              <w:t>等。</w:t>
            </w:r>
          </w:p>
        </w:tc>
        <w:tc>
          <w:tcPr>
            <w:tcW w:w="1302"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076"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887" w:type="dxa"/>
          </w:tcPr>
          <w:p>
            <w:pPr>
              <w:rPr>
                <w:rFonts w:ascii="宋体" w:hAnsi="宋体"/>
                <w:szCs w:val="21"/>
              </w:rPr>
            </w:pPr>
            <w:r>
              <w:rPr>
                <w:rFonts w:hint="eastAsia" w:ascii="宋体" w:hAnsi="宋体" w:cs="宋体"/>
                <w:b/>
                <w:szCs w:val="21"/>
              </w:rPr>
              <w:t>8.2.3</w:t>
            </w:r>
          </w:p>
        </w:tc>
        <w:tc>
          <w:tcPr>
            <w:tcW w:w="944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hint="eastAsia" w:ascii="宋体" w:hAnsi="宋体" w:cs="宋体"/>
                <w:color w:val="000000"/>
                <w:szCs w:val="21"/>
              </w:rPr>
            </w:pPr>
            <w:r>
              <w:rPr>
                <w:rFonts w:hint="eastAsia" w:ascii="宋体" w:hAnsi="宋体" w:cs="宋体"/>
                <w:color w:val="000000" w:themeColor="text1"/>
                <w:szCs w:val="21"/>
              </w:rPr>
              <w:t>询问负责人，</w:t>
            </w:r>
            <w:r>
              <w:rPr>
                <w:rFonts w:hint="eastAsia" w:ascii="宋体" w:hAnsi="宋体" w:cs="宋体"/>
                <w:color w:val="000000" w:themeColor="text1"/>
                <w:szCs w:val="21"/>
                <w:highlight w:val="none"/>
                <w:lang w:eastAsia="zh-CN"/>
              </w:rPr>
              <w:t>产品的销售均</w:t>
            </w:r>
            <w:r>
              <w:rPr>
                <w:rFonts w:hint="eastAsia" w:ascii="宋体" w:hAnsi="宋体" w:cs="宋体"/>
                <w:color w:val="000000" w:themeColor="text1"/>
                <w:szCs w:val="21"/>
                <w:highlight w:val="none"/>
              </w:rPr>
              <w:t>与顾客签订</w:t>
            </w:r>
            <w:r>
              <w:rPr>
                <w:rFonts w:hint="eastAsia" w:ascii="宋体" w:hAnsi="宋体" w:cs="宋体"/>
                <w:color w:val="000000" w:themeColor="text1"/>
                <w:szCs w:val="21"/>
                <w:highlight w:val="none"/>
                <w:lang w:eastAsia="zh-CN"/>
              </w:rPr>
              <w:t>了</w:t>
            </w:r>
            <w:r>
              <w:rPr>
                <w:rFonts w:hint="eastAsia" w:ascii="宋体" w:hAnsi="宋体" w:cs="宋体"/>
                <w:color w:val="000000" w:themeColor="text1"/>
                <w:szCs w:val="21"/>
                <w:highlight w:val="none"/>
              </w:rPr>
              <w:t>产品合同，</w:t>
            </w:r>
            <w:r>
              <w:rPr>
                <w:rFonts w:hint="eastAsia" w:ascii="宋体" w:hAnsi="宋体" w:cs="宋体"/>
                <w:color w:val="000000" w:themeColor="text1"/>
                <w:szCs w:val="21"/>
                <w:highlight w:val="none"/>
                <w:lang w:eastAsia="zh-CN"/>
              </w:rPr>
              <w:t>在接到客户需求信息后，相关负责人对信息进行</w:t>
            </w:r>
            <w:r>
              <w:rPr>
                <w:rFonts w:hint="eastAsia" w:ascii="宋体" w:hAnsi="宋体" w:cs="宋体"/>
                <w:color w:val="000000" w:themeColor="text1"/>
                <w:szCs w:val="21"/>
                <w:highlight w:val="none"/>
              </w:rPr>
              <w:t>评</w:t>
            </w:r>
            <w:r>
              <w:rPr>
                <w:rFonts w:hint="eastAsia" w:ascii="宋体" w:hAnsi="宋体" w:cs="宋体"/>
                <w:color w:val="000000"/>
                <w:szCs w:val="21"/>
              </w:rPr>
              <w:t>审</w:t>
            </w:r>
            <w:r>
              <w:rPr>
                <w:rFonts w:hint="eastAsia" w:ascii="宋体" w:hAnsi="宋体" w:cs="宋体"/>
                <w:color w:val="000000"/>
                <w:szCs w:val="21"/>
                <w:lang w:eastAsia="zh-CN"/>
              </w:rPr>
              <w:t>，确认后在合同评审表上</w:t>
            </w:r>
            <w:r>
              <w:rPr>
                <w:rFonts w:hint="eastAsia" w:ascii="宋体" w:hAnsi="宋体" w:cs="宋体"/>
                <w:color w:val="000000"/>
                <w:szCs w:val="21"/>
              </w:rPr>
              <w:t>签字确认。</w:t>
            </w:r>
          </w:p>
          <w:p>
            <w:pPr>
              <w:spacing w:line="360" w:lineRule="auto"/>
              <w:ind w:firstLine="420" w:firstLineChars="200"/>
              <w:rPr>
                <w:rFonts w:hint="eastAsia" w:ascii="宋体" w:hAnsi="宋体" w:cs="宋体"/>
                <w:color w:val="000000"/>
                <w:szCs w:val="21"/>
                <w:lang w:eastAsia="zh-CN"/>
              </w:rPr>
            </w:pPr>
            <w:r>
              <w:rPr>
                <w:rFonts w:hint="eastAsia" w:ascii="宋体" w:hAnsi="宋体" w:cs="宋体"/>
                <w:color w:val="000000"/>
                <w:szCs w:val="21"/>
              </w:rPr>
              <w:t>抽查:《</w:t>
            </w:r>
            <w:r>
              <w:rPr>
                <w:rFonts w:hint="eastAsia" w:ascii="宋体" w:hAnsi="宋体" w:cs="宋体"/>
                <w:color w:val="000000"/>
                <w:szCs w:val="21"/>
                <w:lang w:eastAsia="zh-CN"/>
              </w:rPr>
              <w:t>客户要求评审确认记录表</w:t>
            </w:r>
            <w:r>
              <w:rPr>
                <w:rFonts w:hint="eastAsia" w:ascii="宋体" w:hAnsi="宋体" w:cs="宋体"/>
                <w:color w:val="000000"/>
                <w:szCs w:val="21"/>
              </w:rPr>
              <w:t>》</w:t>
            </w:r>
            <w:r>
              <w:rPr>
                <w:rFonts w:hint="eastAsia" w:ascii="宋体" w:hAnsi="宋体" w:cs="宋体"/>
                <w:color w:val="000000"/>
                <w:szCs w:val="21"/>
                <w:lang w:eastAsia="zh-CN"/>
              </w:rPr>
              <w:t>评审记录</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highlight w:val="none"/>
                <w:lang w:eastAsia="zh-CN"/>
              </w:rPr>
              <w:t>202</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.0</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lang w:eastAsia="zh-CN"/>
              </w:rPr>
              <w:t>.2</w:t>
            </w:r>
            <w:r>
              <w:rPr>
                <w:rFonts w:hint="eastAsia" w:ascii="宋体" w:hAnsi="宋体" w:cs="宋体"/>
                <w:color w:val="000000"/>
                <w:szCs w:val="21"/>
                <w:highlight w:val="none"/>
                <w:lang w:val="en-US" w:eastAsia="zh-CN"/>
              </w:rPr>
              <w:t>8</w:t>
            </w:r>
            <w:r>
              <w:rPr>
                <w:rFonts w:hint="eastAsia" w:ascii="宋体" w:hAnsi="宋体" w:cs="宋体"/>
                <w:color w:val="000000"/>
                <w:szCs w:val="21"/>
              </w:rPr>
              <w:t>签订的《产品合同》</w:t>
            </w:r>
          </w:p>
          <w:p>
            <w:pPr>
              <w:spacing w:line="360" w:lineRule="auto"/>
              <w:ind w:firstLine="420" w:firstLineChars="200"/>
              <w:rPr>
                <w:rFonts w:hint="eastAsia" w:ascii="宋体" w:hAnsi="宋体" w:cs="宋体"/>
                <w:color w:val="000000"/>
                <w:szCs w:val="21"/>
                <w:lang w:eastAsia="zh-CN"/>
              </w:rPr>
            </w:pPr>
            <w:r>
              <w:rPr>
                <w:rFonts w:hint="eastAsia" w:ascii="宋体" w:hAnsi="宋体" w:cs="宋体"/>
                <w:color w:val="000000"/>
                <w:szCs w:val="21"/>
              </w:rPr>
              <w:t>顾客名称：重庆敏测智能装备技术有限公司</w:t>
            </w:r>
          </w:p>
          <w:p>
            <w:pPr>
              <w:spacing w:line="360" w:lineRule="auto"/>
              <w:ind w:firstLine="420" w:firstLineChars="200"/>
              <w:rPr>
                <w:rFonts w:hint="eastAsia" w:ascii="宋体" w:hAnsi="宋体" w:cs="宋体"/>
                <w:color w:val="000000"/>
                <w:szCs w:val="21"/>
                <w:lang w:eastAsia="zh-CN"/>
              </w:rPr>
            </w:pPr>
            <w:r>
              <w:rPr>
                <w:rFonts w:hint="eastAsia" w:ascii="宋体" w:hAnsi="宋体" w:cs="宋体"/>
                <w:color w:val="000000"/>
                <w:szCs w:val="21"/>
              </w:rPr>
              <w:t>产品名称：</w:t>
            </w:r>
            <w:r>
              <w:rPr>
                <w:rFonts w:hint="eastAsia" w:ascii="宋体" w:hAnsi="宋体" w:cs="宋体"/>
                <w:color w:val="000000"/>
                <w:szCs w:val="21"/>
                <w:highlight w:val="none"/>
                <w:lang w:val="en-US" w:eastAsia="zh-CN"/>
              </w:rPr>
              <w:t>信号线（ZWCAB）</w:t>
            </w:r>
          </w:p>
          <w:p>
            <w:pPr>
              <w:spacing w:line="360" w:lineRule="auto"/>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评审内容：在合同期限内，完成合同要求立磨减速机监测服务、自诊断系统。</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eastAsia="zh-CN"/>
              </w:rPr>
              <w:t>评审确认</w:t>
            </w:r>
            <w:r>
              <w:rPr>
                <w:rFonts w:hint="eastAsia" w:ascii="宋体" w:hAnsi="宋体" w:cs="宋体"/>
                <w:color w:val="000000"/>
                <w:szCs w:val="21"/>
              </w:rPr>
              <w:t>签字人：</w:t>
            </w:r>
            <w:r>
              <w:rPr>
                <w:rFonts w:hint="eastAsia" w:ascii="宋体" w:hAnsi="宋体" w:cs="宋体"/>
                <w:color w:val="000000"/>
                <w:szCs w:val="21"/>
                <w:lang w:val="en-US" w:eastAsia="zh-CN"/>
              </w:rPr>
              <w:t>刘世明、段云、</w:t>
            </w:r>
            <w:r>
              <w:rPr>
                <w:rFonts w:hint="eastAsia" w:ascii="宋体" w:hAnsi="宋体" w:cs="宋体"/>
                <w:color w:val="000000"/>
                <w:szCs w:val="21"/>
                <w:lang w:eastAsia="zh-CN"/>
              </w:rPr>
              <w:t>汪斌</w:t>
            </w:r>
            <w:r>
              <w:rPr>
                <w:rFonts w:hint="eastAsia" w:ascii="宋体" w:hAnsi="宋体" w:cs="宋体"/>
                <w:color w:val="000000"/>
                <w:szCs w:val="21"/>
                <w:lang w:val="en-US" w:eastAsia="zh-CN"/>
              </w:rPr>
              <w:t>、冯晟</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val="en-US" w:eastAsia="zh-CN"/>
              </w:rPr>
              <w:t>评审时间：</w:t>
            </w:r>
            <w:r>
              <w:rPr>
                <w:rFonts w:hint="eastAsia" w:ascii="宋体" w:hAnsi="宋体" w:cs="宋体"/>
                <w:color w:val="000000"/>
                <w:szCs w:val="21"/>
                <w:highlight w:val="none"/>
                <w:lang w:eastAsia="zh-CN"/>
              </w:rPr>
              <w:t>202</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.0</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lang w:eastAsia="zh-CN"/>
              </w:rPr>
              <w:t>.2</w:t>
            </w:r>
            <w:r>
              <w:rPr>
                <w:rFonts w:hint="eastAsia" w:ascii="宋体" w:hAnsi="宋体" w:cs="宋体"/>
                <w:color w:val="000000"/>
                <w:szCs w:val="21"/>
                <w:highlight w:val="none"/>
                <w:lang w:val="en-US" w:eastAsia="zh-CN"/>
              </w:rPr>
              <w:t>6</w:t>
            </w:r>
          </w:p>
          <w:p>
            <w:pPr>
              <w:spacing w:line="360" w:lineRule="auto"/>
              <w:ind w:firstLine="420" w:firstLineChars="200"/>
              <w:rPr>
                <w:rFonts w:hint="eastAsia" w:ascii="宋体" w:hAnsi="宋体" w:cs="宋体"/>
                <w:color w:val="000000"/>
                <w:szCs w:val="21"/>
              </w:rPr>
            </w:pP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highlight w:val="none"/>
                <w:lang w:eastAsia="zh-CN"/>
              </w:rPr>
              <w:t>202</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.0</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02</w:t>
            </w:r>
            <w:r>
              <w:rPr>
                <w:rFonts w:hint="eastAsia" w:ascii="宋体" w:hAnsi="宋体" w:cs="宋体"/>
                <w:color w:val="000000"/>
                <w:szCs w:val="21"/>
              </w:rPr>
              <w:t>签订的《产品合同》</w:t>
            </w:r>
            <w:r>
              <w:rPr>
                <w:rFonts w:hint="eastAsia" w:ascii="宋体" w:hAnsi="宋体" w:cs="宋体"/>
                <w:color w:val="000000"/>
                <w:szCs w:val="21"/>
                <w:lang w:eastAsia="zh-CN"/>
              </w:rPr>
              <w:t>评审记录</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顾客名称：</w:t>
            </w:r>
            <w:r>
              <w:rPr>
                <w:rFonts w:hint="eastAsia" w:ascii="宋体" w:hAnsi="宋体" w:cs="宋体"/>
                <w:color w:val="000000"/>
                <w:szCs w:val="21"/>
                <w:highlight w:val="none"/>
                <w:lang w:eastAsia="zh-CN"/>
              </w:rPr>
              <w:t>重庆</w:t>
            </w:r>
            <w:r>
              <w:rPr>
                <w:rFonts w:hint="eastAsia" w:ascii="宋体" w:hAnsi="宋体" w:cs="宋体"/>
                <w:color w:val="000000"/>
                <w:szCs w:val="21"/>
                <w:highlight w:val="none"/>
                <w:lang w:val="en-US" w:eastAsia="zh-CN"/>
              </w:rPr>
              <w:t>云天化天聚新材料</w:t>
            </w:r>
            <w:r>
              <w:rPr>
                <w:rFonts w:hint="eastAsia" w:ascii="宋体" w:hAnsi="宋体" w:cs="宋体"/>
                <w:color w:val="000000"/>
                <w:szCs w:val="21"/>
                <w:highlight w:val="none"/>
                <w:lang w:eastAsia="zh-CN"/>
              </w:rPr>
              <w:t>有限公司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产品名称：</w:t>
            </w:r>
            <w:r>
              <w:rPr>
                <w:rFonts w:hint="eastAsia"/>
                <w:szCs w:val="22"/>
                <w:lang w:val="en-US" w:eastAsia="zh-CN"/>
              </w:rPr>
              <w:t>无线加速度传感器、无线数据采集站、卓微便携式离/在线状态监测系统、卓微科技平台等</w:t>
            </w:r>
          </w:p>
          <w:p>
            <w:pPr>
              <w:spacing w:line="360" w:lineRule="auto"/>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评审内容：在合同期限内，完成合同传感器铠装线</w:t>
            </w:r>
            <w:r>
              <w:rPr>
                <w:rFonts w:hint="eastAsia" w:ascii="宋体" w:hAnsi="宋体" w:cs="宋体"/>
                <w:color w:val="000000"/>
                <w:szCs w:val="21"/>
                <w:lang w:val="en-US" w:eastAsia="zh-CN"/>
              </w:rPr>
              <w:t>交付</w:t>
            </w:r>
            <w:r>
              <w:rPr>
                <w:rFonts w:hint="eastAsia" w:ascii="宋体" w:hAnsi="宋体" w:cs="宋体"/>
                <w:color w:val="000000"/>
                <w:szCs w:val="21"/>
                <w:lang w:eastAsia="zh-CN"/>
              </w:rPr>
              <w:t>。</w:t>
            </w:r>
          </w:p>
          <w:p>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lang w:eastAsia="zh-CN"/>
              </w:rPr>
              <w:t>评审确认</w:t>
            </w:r>
            <w:r>
              <w:rPr>
                <w:rFonts w:hint="eastAsia" w:ascii="宋体" w:hAnsi="宋体" w:cs="宋体"/>
                <w:color w:val="000000"/>
                <w:szCs w:val="21"/>
              </w:rPr>
              <w:t>签字人：</w:t>
            </w:r>
            <w:r>
              <w:rPr>
                <w:rFonts w:hint="eastAsia" w:ascii="宋体" w:hAnsi="宋体" w:cs="宋体"/>
                <w:color w:val="000000"/>
                <w:szCs w:val="21"/>
                <w:lang w:val="en-US" w:eastAsia="zh-CN"/>
              </w:rPr>
              <w:t>刘世明、段云、</w:t>
            </w:r>
            <w:r>
              <w:rPr>
                <w:rFonts w:hint="eastAsia" w:ascii="宋体" w:hAnsi="宋体" w:cs="宋体"/>
                <w:color w:val="000000"/>
                <w:szCs w:val="21"/>
                <w:lang w:eastAsia="zh-CN"/>
              </w:rPr>
              <w:t>汪斌</w:t>
            </w:r>
            <w:r>
              <w:rPr>
                <w:rFonts w:hint="eastAsia" w:ascii="宋体" w:hAnsi="宋体" w:cs="宋体"/>
                <w:color w:val="000000"/>
                <w:szCs w:val="21"/>
                <w:lang w:val="en-US" w:eastAsia="zh-CN"/>
              </w:rPr>
              <w:t>、冯晟</w:t>
            </w:r>
          </w:p>
          <w:p>
            <w:pPr>
              <w:spacing w:line="360" w:lineRule="auto"/>
              <w:ind w:firstLine="420" w:firstLineChars="200"/>
              <w:rPr>
                <w:rFonts w:hint="default" w:ascii="宋体" w:hAnsi="宋体" w:cs="宋体"/>
                <w:color w:val="000000"/>
                <w:szCs w:val="21"/>
                <w:lang w:val="en-US" w:eastAsia="zh-CN"/>
              </w:rPr>
            </w:pPr>
            <w:r>
              <w:rPr>
                <w:rFonts w:hint="eastAsia" w:ascii="宋体" w:hAnsi="宋体" w:cs="宋体"/>
                <w:color w:val="000000"/>
                <w:szCs w:val="21"/>
                <w:lang w:val="en-US" w:eastAsia="zh-CN"/>
              </w:rPr>
              <w:t>评审时间：</w:t>
            </w:r>
            <w:r>
              <w:rPr>
                <w:rFonts w:hint="eastAsia" w:ascii="宋体" w:hAnsi="宋体" w:cs="宋体"/>
                <w:color w:val="000000"/>
                <w:szCs w:val="21"/>
                <w:highlight w:val="none"/>
                <w:lang w:eastAsia="zh-CN"/>
              </w:rPr>
              <w:t>202</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03.31</w:t>
            </w:r>
          </w:p>
          <w:p>
            <w:pPr>
              <w:widowControl/>
              <w:spacing w:line="360" w:lineRule="auto"/>
              <w:jc w:val="left"/>
              <w:rPr>
                <w:rFonts w:ascii="宋体" w:hAnsi="宋体"/>
                <w:szCs w:val="21"/>
              </w:rPr>
            </w:pPr>
          </w:p>
        </w:tc>
        <w:tc>
          <w:tcPr>
            <w:tcW w:w="1302"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076"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887" w:type="dxa"/>
          </w:tcPr>
          <w:p>
            <w:pPr>
              <w:rPr>
                <w:rFonts w:ascii="宋体" w:hAnsi="宋体"/>
                <w:szCs w:val="21"/>
              </w:rPr>
            </w:pPr>
            <w:r>
              <w:rPr>
                <w:rFonts w:hint="eastAsia" w:ascii="宋体" w:hAnsi="宋体" w:cs="宋体"/>
                <w:b/>
                <w:szCs w:val="21"/>
              </w:rPr>
              <w:t>8.2.4</w:t>
            </w:r>
          </w:p>
        </w:tc>
        <w:tc>
          <w:tcPr>
            <w:tcW w:w="944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w:t>
            </w:r>
            <w:r>
              <w:rPr>
                <w:rFonts w:hint="eastAsia" w:ascii="宋体" w:hAnsi="宋体" w:cs="宋体"/>
                <w:color w:val="000000"/>
                <w:szCs w:val="21"/>
                <w:lang w:val="en-US" w:eastAsia="zh-CN"/>
              </w:rPr>
              <w:t>21.01</w:t>
            </w:r>
            <w:r>
              <w:rPr>
                <w:rFonts w:hint="eastAsia" w:ascii="宋体" w:hAnsi="宋体" w:cs="宋体"/>
                <w:color w:val="000000"/>
                <w:szCs w:val="21"/>
              </w:rPr>
              <w:t>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302"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76"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887" w:type="dxa"/>
          </w:tcPr>
          <w:p>
            <w:pPr>
              <w:rPr>
                <w:rFonts w:ascii="宋体" w:hAnsi="宋体" w:cs="宋体"/>
                <w:b/>
                <w:szCs w:val="21"/>
              </w:rPr>
            </w:pPr>
            <w:r>
              <w:rPr>
                <w:rFonts w:hint="eastAsia" w:ascii="宋体" w:hAnsi="宋体" w:cs="宋体"/>
                <w:b/>
                <w:szCs w:val="21"/>
              </w:rPr>
              <w:t>8.4.1</w:t>
            </w:r>
          </w:p>
        </w:tc>
        <w:tc>
          <w:tcPr>
            <w:tcW w:w="9444" w:type="dxa"/>
          </w:tcPr>
          <w:p>
            <w:pPr>
              <w:spacing w:line="360" w:lineRule="auto"/>
              <w:ind w:firstLine="420" w:firstLineChars="200"/>
              <w:rPr>
                <w:rFonts w:ascii="宋体" w:hAnsi="宋体" w:cs="宋体"/>
                <w:szCs w:val="21"/>
                <w:highlight w:val="none"/>
              </w:rPr>
            </w:pPr>
            <w:r>
              <w:rPr>
                <w:rFonts w:hint="eastAsia" w:ascii="宋体" w:hAnsi="宋体" w:cs="宋体"/>
                <w:szCs w:val="21"/>
              </w:rPr>
              <w:t>公司策划了</w:t>
            </w:r>
            <w:r>
              <w:rPr>
                <w:rFonts w:hint="eastAsia" w:ascii="宋体" w:hAnsi="宋体" w:cs="宋体"/>
                <w:kern w:val="0"/>
                <w:szCs w:val="21"/>
              </w:rPr>
              <w:t>《</w:t>
            </w:r>
            <w:r>
              <w:rPr>
                <w:rFonts w:hint="eastAsia"/>
                <w:szCs w:val="21"/>
                <w:lang w:eastAsia="zh-CN"/>
              </w:rPr>
              <w:t>采购和外部供方控制程序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w:t>
            </w:r>
            <w:r>
              <w:rPr>
                <w:rFonts w:hint="eastAsia" w:ascii="宋体" w:hAnsi="宋体" w:cs="宋体"/>
                <w:szCs w:val="21"/>
                <w:highlight w:val="none"/>
              </w:rPr>
              <w:t>一部分。</w:t>
            </w:r>
          </w:p>
          <w:p>
            <w:pPr>
              <w:spacing w:line="360" w:lineRule="auto"/>
              <w:rPr>
                <w:rFonts w:ascii="宋体" w:hAnsi="宋体" w:cs="宋体"/>
                <w:szCs w:val="21"/>
                <w:highlight w:val="none"/>
              </w:rPr>
            </w:pPr>
            <w:r>
              <w:rPr>
                <w:rFonts w:hint="eastAsia" w:ascii="宋体" w:hAnsi="宋体" w:cs="宋体"/>
                <w:szCs w:val="21"/>
                <w:highlight w:val="none"/>
              </w:rPr>
              <w:t>---公司基于外部供方提供所要求的过程、产品或服务的能力，确定外部供方的评价、选择、绩效监视以及再评价的准则，并加以实施。详见《</w:t>
            </w:r>
            <w:r>
              <w:rPr>
                <w:rFonts w:hint="eastAsia" w:ascii="宋体" w:hAnsi="宋体"/>
                <w:highlight w:val="none"/>
                <w:lang w:eastAsia="zh-CN"/>
              </w:rPr>
              <w:t>采购和外部供方控制程序</w:t>
            </w:r>
            <w:r>
              <w:rPr>
                <w:rFonts w:hint="eastAsia" w:ascii="宋体" w:hAnsi="宋体" w:cs="宋体"/>
                <w:szCs w:val="21"/>
                <w:highlight w:val="none"/>
              </w:rPr>
              <w:t>》</w:t>
            </w:r>
          </w:p>
          <w:p>
            <w:pPr>
              <w:widowControl/>
              <w:spacing w:line="360" w:lineRule="auto"/>
              <w:ind w:firstLine="315" w:firstLineChars="150"/>
              <w:rPr>
                <w:rFonts w:ascii="宋体" w:hAnsi="宋体" w:cs="宋体"/>
                <w:iCs/>
                <w:szCs w:val="21"/>
                <w:highlight w:val="none"/>
              </w:rPr>
            </w:pPr>
            <w:r>
              <w:rPr>
                <w:rFonts w:hint="eastAsia" w:ascii="宋体" w:hAnsi="宋体" w:cs="宋体"/>
                <w:szCs w:val="21"/>
                <w:highlight w:val="none"/>
              </w:rPr>
              <w:t>负责人讲，</w:t>
            </w:r>
            <w:r>
              <w:rPr>
                <w:rFonts w:hint="eastAsia" w:ascii="宋体" w:hAnsi="宋体" w:cs="宋体"/>
                <w:iCs/>
                <w:szCs w:val="21"/>
                <w:highlight w:val="none"/>
              </w:rPr>
              <w:t>公司的外部供方主要为原材料的供应商。</w:t>
            </w:r>
          </w:p>
          <w:p>
            <w:pPr>
              <w:widowControl/>
              <w:spacing w:line="360" w:lineRule="auto"/>
              <w:ind w:firstLine="315" w:firstLineChars="150"/>
              <w:rPr>
                <w:rFonts w:hint="eastAsia" w:ascii="宋体" w:hAnsi="宋体" w:eastAsia="宋体" w:cs="宋体"/>
                <w:szCs w:val="21"/>
                <w:highlight w:val="none"/>
                <w:lang w:eastAsia="zh-CN"/>
              </w:rPr>
            </w:pPr>
            <w:r>
              <w:rPr>
                <w:rFonts w:hint="eastAsia" w:ascii="宋体" w:hAnsi="宋体" w:cs="宋体"/>
                <w:szCs w:val="21"/>
                <w:highlight w:val="none"/>
              </w:rPr>
              <w:t>见《合格供方名录》</w:t>
            </w:r>
            <w:r>
              <w:rPr>
                <w:rFonts w:hint="eastAsia" w:ascii="宋体" w:hAnsi="宋体" w:cs="宋体"/>
                <w:szCs w:val="21"/>
                <w:highlight w:val="none"/>
                <w:lang w:eastAsia="zh-CN"/>
              </w:rPr>
              <w:t>：</w:t>
            </w:r>
          </w:p>
          <w:p>
            <w:pPr>
              <w:widowControl/>
              <w:spacing w:line="360" w:lineRule="auto"/>
              <w:ind w:firstLine="315" w:firstLineChars="150"/>
              <w:rPr>
                <w:rFonts w:hint="eastAsia" w:ascii="宋体" w:hAnsi="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安徽德通智联科技有限公司</w:t>
            </w:r>
            <w:r>
              <w:rPr>
                <w:rFonts w:hint="eastAsia" w:ascii="宋体" w:hAnsi="宋体" w:cs="宋体"/>
                <w:szCs w:val="21"/>
                <w:highlight w:val="none"/>
                <w:lang w:eastAsia="zh-CN"/>
              </w:rPr>
              <w:t>（供应：</w:t>
            </w:r>
            <w:r>
              <w:rPr>
                <w:rFonts w:hint="eastAsia" w:ascii="宋体" w:hAnsi="宋体" w:cs="宋体"/>
                <w:szCs w:val="21"/>
                <w:highlight w:val="none"/>
                <w:lang w:val="en-US" w:eastAsia="zh-CN"/>
              </w:rPr>
              <w:t>16通道采集站-4G版</w:t>
            </w:r>
            <w:r>
              <w:rPr>
                <w:rFonts w:hint="eastAsia" w:ascii="宋体" w:hAnsi="宋体" w:cs="宋体"/>
                <w:szCs w:val="21"/>
                <w:highlight w:val="none"/>
                <w:lang w:eastAsia="zh-CN"/>
              </w:rPr>
              <w:t>等）；</w:t>
            </w:r>
          </w:p>
          <w:p>
            <w:pPr>
              <w:widowControl/>
              <w:spacing w:line="360" w:lineRule="auto"/>
              <w:ind w:firstLine="315" w:firstLineChars="150"/>
              <w:rPr>
                <w:rFonts w:hint="eastAsia" w:ascii="宋体" w:hAnsi="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成都正弘伟业包装有限公司</w:t>
            </w:r>
            <w:r>
              <w:rPr>
                <w:rFonts w:hint="eastAsia" w:ascii="宋体" w:hAnsi="宋体" w:cs="宋体"/>
                <w:szCs w:val="21"/>
                <w:highlight w:val="none"/>
              </w:rPr>
              <w:t>（供应：</w:t>
            </w:r>
            <w:r>
              <w:rPr>
                <w:rFonts w:hint="eastAsia" w:ascii="宋体" w:hAnsi="宋体" w:cs="宋体"/>
                <w:szCs w:val="21"/>
                <w:highlight w:val="none"/>
                <w:lang w:val="en-US" w:eastAsia="zh-CN"/>
              </w:rPr>
              <w:t>自诊断变送器、在线数据采集柜、传感器三层飞机盒</w:t>
            </w:r>
            <w:r>
              <w:rPr>
                <w:rFonts w:hint="eastAsia" w:ascii="宋体" w:hAnsi="宋体" w:cs="宋体"/>
                <w:szCs w:val="21"/>
                <w:highlight w:val="none"/>
                <w:lang w:eastAsia="zh-CN"/>
              </w:rPr>
              <w:t>等</w:t>
            </w:r>
            <w:r>
              <w:rPr>
                <w:rFonts w:hint="eastAsia" w:ascii="宋体" w:hAnsi="宋体" w:cs="宋体"/>
                <w:szCs w:val="21"/>
                <w:highlight w:val="none"/>
              </w:rPr>
              <w:t>）</w:t>
            </w:r>
            <w:r>
              <w:rPr>
                <w:rFonts w:hint="eastAsia" w:ascii="宋体" w:hAnsi="宋体" w:cs="宋体"/>
                <w:szCs w:val="21"/>
                <w:highlight w:val="none"/>
                <w:lang w:eastAsia="zh-CN"/>
              </w:rPr>
              <w:t>；</w:t>
            </w:r>
          </w:p>
          <w:p>
            <w:pPr>
              <w:widowControl/>
              <w:spacing w:line="360" w:lineRule="auto"/>
              <w:ind w:firstLine="315" w:firstLineChars="150"/>
              <w:rPr>
                <w:rFonts w:hint="eastAsia" w:ascii="宋体" w:hAnsi="宋体" w:cs="宋体"/>
                <w:szCs w:val="21"/>
                <w:highlight w:val="none"/>
                <w:lang w:val="en-US" w:eastAsia="zh-CN"/>
              </w:rPr>
            </w:pPr>
            <w:r>
              <w:rPr>
                <w:rFonts w:hint="eastAsia" w:ascii="宋体" w:hAnsi="宋体" w:cs="宋体"/>
                <w:szCs w:val="21"/>
                <w:highlight w:val="none"/>
                <w:lang w:val="en-US" w:eastAsia="zh-CN"/>
              </w:rPr>
              <w:t>3、东莞市永申包装材料有限公司（供应：珍珠棉护角等）；</w:t>
            </w:r>
          </w:p>
          <w:p>
            <w:pPr>
              <w:widowControl/>
              <w:spacing w:line="360" w:lineRule="auto"/>
              <w:ind w:firstLine="315" w:firstLineChars="150"/>
              <w:rPr>
                <w:rFonts w:hint="default" w:ascii="宋体" w:hAnsi="宋体" w:cs="宋体"/>
                <w:szCs w:val="21"/>
                <w:highlight w:val="none"/>
                <w:lang w:val="en-US" w:eastAsia="zh-CN"/>
              </w:rPr>
            </w:pPr>
            <w:r>
              <w:rPr>
                <w:rFonts w:hint="eastAsia" w:ascii="宋体" w:hAnsi="宋体" w:cs="宋体"/>
                <w:szCs w:val="21"/>
                <w:highlight w:val="none"/>
                <w:lang w:val="en-US" w:eastAsia="zh-CN"/>
              </w:rPr>
              <w:t>4、成都沐宇同芯电子有限公司（供应：电容、电阻等）</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--查《供方评价表》</w:t>
            </w:r>
          </w:p>
          <w:p>
            <w:pPr>
              <w:widowControl/>
              <w:spacing w:line="360" w:lineRule="auto"/>
              <w:ind w:firstLine="315" w:firstLineChars="150"/>
              <w:rPr>
                <w:rFonts w:hint="eastAsia" w:ascii="宋体" w:hAnsi="宋体" w:cs="宋体"/>
                <w:iCs/>
                <w:szCs w:val="21"/>
                <w:highlight w:val="none"/>
                <w:lang w:eastAsia="zh-CN"/>
              </w:rPr>
            </w:pPr>
            <w:r>
              <w:rPr>
                <w:rFonts w:hint="eastAsia" w:ascii="宋体" w:hAnsi="宋体" w:cs="宋体"/>
                <w:iCs/>
                <w:szCs w:val="21"/>
                <w:highlight w:val="none"/>
                <w:lang w:eastAsia="zh-CN"/>
              </w:rPr>
              <w:t xml:space="preserve"> 20</w:t>
            </w:r>
            <w:r>
              <w:rPr>
                <w:rFonts w:hint="eastAsia" w:ascii="宋体" w:hAnsi="宋体" w:cs="宋体"/>
                <w:iCs/>
                <w:szCs w:val="21"/>
                <w:highlight w:val="none"/>
                <w:lang w:val="en-US" w:eastAsia="zh-CN"/>
              </w:rPr>
              <w:t>21</w:t>
            </w:r>
            <w:r>
              <w:rPr>
                <w:rFonts w:hint="eastAsia" w:ascii="宋体" w:hAnsi="宋体" w:cs="宋体"/>
                <w:iCs/>
                <w:szCs w:val="21"/>
                <w:highlight w:val="none"/>
                <w:lang w:eastAsia="zh-CN"/>
              </w:rPr>
              <w:t>年</w:t>
            </w:r>
            <w:r>
              <w:rPr>
                <w:rFonts w:hint="eastAsia" w:ascii="宋体" w:hAnsi="宋体" w:cs="宋体"/>
                <w:iCs/>
                <w:szCs w:val="21"/>
                <w:highlight w:val="none"/>
                <w:lang w:val="en-US" w:eastAsia="zh-CN"/>
              </w:rPr>
              <w:t>3</w:t>
            </w:r>
            <w:r>
              <w:rPr>
                <w:rFonts w:hint="eastAsia" w:ascii="宋体" w:hAnsi="宋体" w:cs="宋体"/>
                <w:iCs/>
                <w:szCs w:val="21"/>
                <w:highlight w:val="none"/>
                <w:lang w:eastAsia="zh-CN"/>
              </w:rPr>
              <w:t>月</w:t>
            </w:r>
            <w:r>
              <w:rPr>
                <w:rFonts w:hint="eastAsia" w:ascii="宋体" w:hAnsi="宋体" w:cs="宋体"/>
                <w:iCs/>
                <w:szCs w:val="21"/>
                <w:highlight w:val="none"/>
                <w:lang w:val="en-US" w:eastAsia="zh-CN"/>
              </w:rPr>
              <w:t>2日</w:t>
            </w:r>
            <w:r>
              <w:rPr>
                <w:rFonts w:hint="eastAsia" w:ascii="宋体" w:hAnsi="宋体" w:cs="宋体"/>
                <w:iCs/>
                <w:szCs w:val="21"/>
                <w:highlight w:val="none"/>
                <w:lang w:eastAsia="zh-CN"/>
              </w:rPr>
              <w:t>供方确认：</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szCs w:val="21"/>
                <w:highlight w:val="none"/>
                <w:lang w:val="en-US" w:eastAsia="zh-CN"/>
              </w:rPr>
              <w:t>1、安徽德通智联科技有限公司</w:t>
            </w:r>
            <w:r>
              <w:rPr>
                <w:rFonts w:hint="eastAsia" w:ascii="宋体" w:hAnsi="宋体" w:cs="宋体"/>
                <w:szCs w:val="21"/>
                <w:highlight w:val="none"/>
                <w:lang w:eastAsia="zh-CN"/>
              </w:rPr>
              <w:t>（供应：</w:t>
            </w:r>
            <w:r>
              <w:rPr>
                <w:rFonts w:hint="eastAsia" w:ascii="宋体" w:hAnsi="宋体" w:cs="宋体"/>
                <w:szCs w:val="21"/>
                <w:highlight w:val="none"/>
                <w:lang w:val="en-US" w:eastAsia="zh-CN"/>
              </w:rPr>
              <w:t>16通道采集站-4G版</w:t>
            </w:r>
            <w:r>
              <w:rPr>
                <w:rFonts w:hint="eastAsia" w:ascii="宋体" w:hAnsi="宋体" w:cs="宋体"/>
                <w:szCs w:val="21"/>
                <w:highlight w:val="none"/>
                <w:lang w:eastAsia="zh-CN"/>
              </w:rPr>
              <w:t>等）</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2、</w:t>
            </w:r>
            <w:r>
              <w:rPr>
                <w:rFonts w:hint="eastAsia" w:ascii="宋体" w:hAnsi="宋体" w:cs="宋体"/>
                <w:szCs w:val="21"/>
                <w:highlight w:val="none"/>
                <w:lang w:val="en-US" w:eastAsia="zh-CN"/>
              </w:rPr>
              <w:t>成都沐宇同芯电子有限公司（供应：电容、电阻等）</w:t>
            </w:r>
          </w:p>
          <w:p>
            <w:pPr>
              <w:widowControl/>
              <w:spacing w:line="360" w:lineRule="auto"/>
              <w:ind w:firstLine="315" w:firstLineChars="150"/>
              <w:rPr>
                <w:rFonts w:hint="eastAsia" w:ascii="宋体" w:hAnsi="宋体" w:cs="宋体"/>
                <w:iCs/>
                <w:szCs w:val="21"/>
                <w:highlight w:val="none"/>
                <w:lang w:val="en-US" w:eastAsia="zh-CN"/>
              </w:rPr>
            </w:pPr>
            <w:r>
              <w:rPr>
                <w:rFonts w:hint="eastAsia" w:ascii="宋体" w:hAnsi="宋体" w:cs="宋体"/>
                <w:iCs/>
                <w:szCs w:val="21"/>
                <w:highlight w:val="none"/>
                <w:lang w:val="en-US" w:eastAsia="zh-CN"/>
              </w:rPr>
              <w:t>。。。。。。</w:t>
            </w:r>
          </w:p>
          <w:p>
            <w:pPr>
              <w:widowControl/>
              <w:spacing w:line="360" w:lineRule="auto"/>
              <w:ind w:firstLine="315" w:firstLineChars="150"/>
              <w:rPr>
                <w:rFonts w:ascii="宋体" w:hAnsi="宋体" w:cs="宋体"/>
                <w:szCs w:val="21"/>
              </w:rPr>
            </w:pPr>
            <w:r>
              <w:rPr>
                <w:rFonts w:hint="eastAsia" w:ascii="宋体" w:hAnsi="宋体" w:cs="宋体"/>
                <w:iCs/>
                <w:szCs w:val="21"/>
                <w:highlight w:val="none"/>
                <w:lang w:val="en-US" w:eastAsia="zh-CN"/>
              </w:rPr>
              <w:t xml:space="preserve">   公司组织各部门对该供方的资质、产品质量、诚信度、送货及时度、服务等进行了评价，有各部门评价人签字。调查评价：合格  评价人：刘世明、段云、汪斌、冯晟</w:t>
            </w:r>
          </w:p>
        </w:tc>
        <w:tc>
          <w:tcPr>
            <w:tcW w:w="1302"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76"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887" w:type="dxa"/>
          </w:tcPr>
          <w:p>
            <w:pPr>
              <w:rPr>
                <w:rFonts w:ascii="宋体" w:hAnsi="宋体" w:cs="宋体"/>
                <w:b/>
                <w:szCs w:val="21"/>
              </w:rPr>
            </w:pPr>
            <w:r>
              <w:rPr>
                <w:rFonts w:hint="eastAsia" w:ascii="宋体" w:hAnsi="宋体" w:cs="宋体"/>
                <w:b/>
                <w:szCs w:val="21"/>
              </w:rPr>
              <w:t>8.4.2</w:t>
            </w:r>
          </w:p>
        </w:tc>
        <w:tc>
          <w:tcPr>
            <w:tcW w:w="9444" w:type="dxa"/>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rPr>
              <w:t>提供</w:t>
            </w:r>
            <w:r>
              <w:rPr>
                <w:rFonts w:hint="eastAsia" w:ascii="宋体" w:hAnsi="宋体" w:cs="宋体"/>
                <w:szCs w:val="21"/>
                <w:highlight w:val="none"/>
                <w:lang w:val="en-US" w:eastAsia="zh-CN"/>
              </w:rPr>
              <w:t>成都正弘伟业包装有限公司</w:t>
            </w:r>
            <w:r>
              <w:rPr>
                <w:rFonts w:hint="eastAsia" w:ascii="宋体" w:hAnsi="宋体" w:cs="宋体"/>
                <w:szCs w:val="21"/>
                <w:highlight w:val="none"/>
              </w:rPr>
              <w:t>；</w:t>
            </w:r>
            <w:r>
              <w:rPr>
                <w:rFonts w:hint="eastAsia" w:ascii="宋体" w:hAnsi="宋体" w:cs="宋体"/>
                <w:szCs w:val="21"/>
                <w:highlight w:val="none"/>
                <w:lang w:eastAsia="zh-CN"/>
              </w:rPr>
              <w:t>（供应：</w:t>
            </w:r>
            <w:r>
              <w:rPr>
                <w:rFonts w:hint="eastAsia" w:ascii="宋体" w:hAnsi="宋体" w:cs="宋体"/>
                <w:szCs w:val="21"/>
                <w:highlight w:val="none"/>
                <w:lang w:val="en-US" w:eastAsia="zh-CN"/>
              </w:rPr>
              <w:t>自诊断变送器、在线数据采集柜、传感器三层飞机盒</w:t>
            </w:r>
            <w:r>
              <w:rPr>
                <w:rFonts w:hint="eastAsia" w:ascii="宋体" w:hAnsi="宋体" w:cs="宋体"/>
                <w:szCs w:val="21"/>
                <w:highlight w:val="none"/>
                <w:lang w:eastAsia="zh-CN"/>
              </w:rPr>
              <w:t>等）</w:t>
            </w:r>
            <w:r>
              <w:rPr>
                <w:rFonts w:hint="eastAsia" w:ascii="宋体" w:hAnsi="宋体" w:cs="宋体"/>
                <w:szCs w:val="21"/>
                <w:highlight w:val="none"/>
              </w:rPr>
              <w:t>评价报告，包括：供方资质、供方的质量管理体系、交货情况、售后服务能力等。时间：</w:t>
            </w:r>
            <w:r>
              <w:rPr>
                <w:rFonts w:hint="eastAsia" w:ascii="宋体" w:hAnsi="宋体" w:cs="宋体"/>
                <w:szCs w:val="21"/>
                <w:highlight w:val="none"/>
                <w:lang w:val="en-US" w:eastAsia="zh-CN"/>
              </w:rPr>
              <w:t>2021.10.15</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查，供方产品质量统计反馈情况：公司策划了采购产品的管理要求，质量反馈要求；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查 公司采购不合格情况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负责人讲20</w:t>
            </w:r>
            <w:r>
              <w:rPr>
                <w:rFonts w:hint="eastAsia" w:ascii="宋体" w:hAnsi="宋体" w:cs="宋体"/>
                <w:szCs w:val="21"/>
                <w:highlight w:val="none"/>
                <w:lang w:val="en-US" w:eastAsia="zh-CN"/>
              </w:rPr>
              <w:t>21</w:t>
            </w:r>
            <w:r>
              <w:rPr>
                <w:rFonts w:hint="eastAsia" w:ascii="宋体" w:hAnsi="宋体" w:cs="宋体"/>
                <w:szCs w:val="21"/>
                <w:highlight w:val="none"/>
              </w:rPr>
              <w:t>年1月以来，未出现</w:t>
            </w:r>
            <w:r>
              <w:rPr>
                <w:rFonts w:hint="eastAsia" w:ascii="宋体" w:hAnsi="宋体" w:cs="宋体"/>
                <w:szCs w:val="21"/>
                <w:highlight w:val="none"/>
                <w:lang w:eastAsia="zh-CN"/>
              </w:rPr>
              <w:t>大的</w:t>
            </w:r>
            <w:r>
              <w:rPr>
                <w:rFonts w:hint="eastAsia" w:ascii="宋体" w:hAnsi="宋体" w:cs="宋体"/>
                <w:szCs w:val="21"/>
                <w:highlight w:val="none"/>
              </w:rPr>
              <w:t>采购产品质量不符合的情况。</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 公司编制了《</w:t>
            </w:r>
            <w:r>
              <w:rPr>
                <w:rFonts w:hint="eastAsia" w:ascii="宋体" w:hAnsi="宋体"/>
                <w:highlight w:val="none"/>
                <w:lang w:eastAsia="zh-CN"/>
              </w:rPr>
              <w:t>采购和外部供方控制程序</w:t>
            </w:r>
            <w:r>
              <w:rPr>
                <w:rFonts w:hint="eastAsia" w:ascii="宋体" w:hAnsi="宋体" w:cs="宋体"/>
                <w:szCs w:val="21"/>
                <w:highlight w:val="none"/>
              </w:rPr>
              <w:t>》，要求采购的主要材料必须进行检验。</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公司对</w:t>
            </w:r>
            <w:r>
              <w:rPr>
                <w:rFonts w:hint="eastAsia" w:ascii="宋体" w:hAnsi="宋体" w:cs="宋体"/>
                <w:szCs w:val="21"/>
                <w:highlight w:val="none"/>
                <w:lang w:eastAsia="zh-CN"/>
              </w:rPr>
              <w:t>采购产品</w:t>
            </w:r>
            <w:r>
              <w:rPr>
                <w:rFonts w:hint="eastAsia" w:ascii="宋体" w:hAnsi="宋体" w:cs="宋体"/>
                <w:szCs w:val="21"/>
                <w:highlight w:val="none"/>
              </w:rPr>
              <w:t>进行了</w:t>
            </w:r>
            <w:r>
              <w:rPr>
                <w:rFonts w:hint="eastAsia" w:ascii="宋体" w:hAnsi="宋体" w:cs="宋体"/>
                <w:szCs w:val="21"/>
                <w:highlight w:val="none"/>
                <w:lang w:eastAsia="zh-CN"/>
              </w:rPr>
              <w:t>入厂</w:t>
            </w:r>
            <w:r>
              <w:rPr>
                <w:rFonts w:hint="eastAsia" w:ascii="宋体" w:hAnsi="宋体" w:cs="宋体"/>
                <w:szCs w:val="21"/>
                <w:highlight w:val="none"/>
              </w:rPr>
              <w:t>验收。</w:t>
            </w:r>
            <w:r>
              <w:rPr>
                <w:rFonts w:hint="eastAsia" w:ascii="宋体" w:hAnsi="宋体" w:cs="宋体"/>
                <w:szCs w:val="21"/>
                <w:highlight w:val="none"/>
                <w:lang w:eastAsia="zh-CN"/>
              </w:rPr>
              <w:t>经询问公司采购产品主要根据需求电话给供方以物流形式送到顾客现场，公司根据项目设备清单对相关产品的数量、包装、规格型号进行检验。最终以产品验收报告为准</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抽查《进货</w:t>
            </w:r>
            <w:r>
              <w:rPr>
                <w:rFonts w:hint="eastAsia" w:ascii="宋体" w:hAnsi="宋体" w:cs="宋体"/>
                <w:szCs w:val="21"/>
                <w:highlight w:val="none"/>
                <w:lang w:eastAsia="zh-CN"/>
              </w:rPr>
              <w:t>检查</w:t>
            </w:r>
            <w:r>
              <w:rPr>
                <w:rFonts w:hint="eastAsia" w:ascii="宋体" w:hAnsi="宋体" w:cs="宋体"/>
                <w:szCs w:val="21"/>
                <w:highlight w:val="none"/>
              </w:rPr>
              <w:t>记录》</w:t>
            </w:r>
          </w:p>
          <w:p>
            <w:pPr>
              <w:numPr>
                <w:ilvl w:val="0"/>
                <w:numId w:val="10"/>
              </w:num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产品名称：</w:t>
            </w:r>
            <w:r>
              <w:rPr>
                <w:rFonts w:hint="eastAsia" w:ascii="宋体" w:hAnsi="宋体" w:cs="宋体"/>
                <w:szCs w:val="21"/>
                <w:highlight w:val="none"/>
                <w:lang w:val="en-US" w:eastAsia="zh-CN"/>
              </w:rPr>
              <w:t>磁座</w:t>
            </w:r>
          </w:p>
          <w:p>
            <w:pPr>
              <w:numPr>
                <w:ilvl w:val="0"/>
                <w:numId w:val="10"/>
              </w:num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检验项目：</w:t>
            </w:r>
            <w:r>
              <w:rPr>
                <w:rFonts w:hint="eastAsia" w:ascii="宋体" w:hAnsi="宋体" w:cs="宋体"/>
                <w:szCs w:val="21"/>
                <w:highlight w:val="none"/>
                <w:lang w:val="en-US" w:eastAsia="zh-CN"/>
              </w:rPr>
              <w:t>吸力大小；外观；数量</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检验</w:t>
            </w:r>
            <w:r>
              <w:rPr>
                <w:rFonts w:hint="eastAsia" w:ascii="宋体" w:hAnsi="宋体" w:cs="宋体"/>
                <w:szCs w:val="21"/>
                <w:highlight w:val="none"/>
              </w:rPr>
              <w:t>员：</w:t>
            </w:r>
            <w:r>
              <w:rPr>
                <w:rFonts w:hint="eastAsia" w:ascii="宋体" w:hAnsi="宋体" w:cs="宋体"/>
                <w:szCs w:val="21"/>
                <w:highlight w:val="none"/>
                <w:lang w:val="en-US" w:eastAsia="zh-CN"/>
              </w:rPr>
              <w:t>李升</w:t>
            </w:r>
            <w:r>
              <w:rPr>
                <w:rFonts w:hint="eastAsia" w:ascii="宋体" w:hAnsi="宋体" w:cs="宋体"/>
                <w:szCs w:val="21"/>
                <w:highlight w:val="none"/>
              </w:rPr>
              <w:t>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3.12</w:t>
            </w:r>
          </w:p>
          <w:p>
            <w:pPr>
              <w:spacing w:line="360" w:lineRule="auto"/>
              <w:ind w:firstLine="420" w:firstLineChars="200"/>
              <w:rPr>
                <w:rFonts w:hint="default" w:ascii="宋体" w:hAnsi="宋体" w:cs="宋体"/>
                <w:szCs w:val="21"/>
                <w:highlight w:val="none"/>
                <w:lang w:val="en-US"/>
              </w:rPr>
            </w:pPr>
            <w:r>
              <w:rPr>
                <w:rFonts w:hint="eastAsia" w:ascii="宋体" w:hAnsi="宋体" w:cs="宋体"/>
                <w:szCs w:val="21"/>
                <w:highlight w:val="none"/>
              </w:rPr>
              <w:t>2、产品名称：</w:t>
            </w:r>
            <w:r>
              <w:rPr>
                <w:rFonts w:hint="eastAsia" w:ascii="宋体" w:hAnsi="宋体" w:cs="宋体"/>
                <w:szCs w:val="21"/>
                <w:highlight w:val="none"/>
                <w:lang w:val="en-US" w:eastAsia="zh-CN"/>
              </w:rPr>
              <w:t>减速机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w:t>
            </w:r>
            <w:r>
              <w:rPr>
                <w:rFonts w:hint="eastAsia" w:ascii="宋体" w:hAnsi="宋体" w:cs="宋体"/>
                <w:szCs w:val="21"/>
                <w:highlight w:val="none"/>
                <w:lang w:val="en-US" w:eastAsia="zh-CN"/>
              </w:rPr>
              <w:t>设备运行畅通；外观；数量；电性能监测</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李升</w:t>
            </w:r>
            <w:r>
              <w:rPr>
                <w:rFonts w:hint="eastAsia" w:ascii="宋体" w:hAnsi="宋体" w:cs="宋体"/>
                <w:szCs w:val="21"/>
                <w:highlight w:val="none"/>
              </w:rPr>
              <w:t>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6.24</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3、产品名称：</w:t>
            </w:r>
            <w:r>
              <w:rPr>
                <w:rFonts w:hint="eastAsia" w:ascii="宋体" w:hAnsi="宋体" w:cs="宋体"/>
                <w:szCs w:val="21"/>
                <w:highlight w:val="none"/>
                <w:lang w:val="en-US" w:eastAsia="zh-CN"/>
              </w:rPr>
              <w:t>机柜</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检验项目</w:t>
            </w:r>
            <w:r>
              <w:rPr>
                <w:rFonts w:hint="eastAsia" w:ascii="宋体" w:hAnsi="宋体" w:cs="宋体"/>
                <w:szCs w:val="21"/>
                <w:highlight w:val="none"/>
                <w:lang w:eastAsia="zh-CN"/>
              </w:rPr>
              <w:t>：</w:t>
            </w:r>
            <w:r>
              <w:rPr>
                <w:rFonts w:hint="eastAsia" w:ascii="宋体" w:hAnsi="宋体" w:cs="宋体"/>
                <w:szCs w:val="21"/>
                <w:highlight w:val="none"/>
                <w:lang w:val="en-US" w:eastAsia="zh-CN"/>
              </w:rPr>
              <w:t>图纸尺寸；外观毛刺是否达标；数量</w:t>
            </w:r>
            <w:r>
              <w:rPr>
                <w:rFonts w:hint="eastAsia" w:ascii="宋体" w:hAnsi="宋体" w:cs="宋体"/>
                <w:szCs w:val="21"/>
                <w:highlight w:val="none"/>
                <w:lang w:eastAsia="zh-CN"/>
              </w:rPr>
              <w:t>等</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检验结论：</w:t>
            </w:r>
            <w:r>
              <w:rPr>
                <w:rFonts w:hint="eastAsia" w:ascii="宋体" w:hAnsi="宋体" w:cs="宋体"/>
                <w:szCs w:val="21"/>
                <w:highlight w:val="none"/>
                <w:lang w:val="en-US" w:eastAsia="zh-CN"/>
              </w:rPr>
              <w:t>合格</w:t>
            </w:r>
            <w:r>
              <w:rPr>
                <w:rFonts w:hint="eastAsia" w:ascii="宋体" w:hAnsi="宋体" w:cs="宋体"/>
                <w:szCs w:val="21"/>
                <w:highlight w:val="none"/>
              </w:rPr>
              <w:t>        </w:t>
            </w:r>
          </w:p>
          <w:p>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eastAsia="zh-CN"/>
              </w:rPr>
              <w:t>检验员：</w:t>
            </w:r>
            <w:r>
              <w:rPr>
                <w:rFonts w:hint="eastAsia" w:ascii="宋体" w:hAnsi="宋体" w:cs="宋体"/>
                <w:szCs w:val="21"/>
                <w:highlight w:val="none"/>
                <w:lang w:val="en-US" w:eastAsia="zh-CN"/>
              </w:rPr>
              <w:t>李升</w:t>
            </w:r>
            <w:r>
              <w:rPr>
                <w:rFonts w:hint="eastAsia" w:ascii="宋体" w:hAnsi="宋体" w:cs="宋体"/>
                <w:szCs w:val="21"/>
                <w:highlight w:val="none"/>
              </w:rPr>
              <w:t>     20</w:t>
            </w:r>
            <w:r>
              <w:rPr>
                <w:rFonts w:hint="eastAsia" w:ascii="宋体" w:hAnsi="宋体" w:cs="宋体"/>
                <w:szCs w:val="21"/>
                <w:highlight w:val="none"/>
                <w:lang w:val="en-US" w:eastAsia="zh-CN"/>
              </w:rPr>
              <w:t>21</w:t>
            </w:r>
            <w:r>
              <w:rPr>
                <w:rFonts w:hint="eastAsia" w:ascii="宋体" w:hAnsi="宋体" w:cs="宋体"/>
                <w:szCs w:val="21"/>
                <w:highlight w:val="none"/>
              </w:rPr>
              <w:t>.</w:t>
            </w:r>
            <w:r>
              <w:rPr>
                <w:rFonts w:hint="eastAsia" w:ascii="宋体" w:hAnsi="宋体" w:cs="宋体"/>
                <w:szCs w:val="21"/>
                <w:highlight w:val="none"/>
                <w:lang w:val="en-US" w:eastAsia="zh-CN"/>
              </w:rPr>
              <w:t>5.19</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基本符合要求。现场查看其他采购物料均按要求进行</w:t>
            </w:r>
            <w:r>
              <w:rPr>
                <w:rFonts w:hint="eastAsia" w:ascii="宋体" w:hAnsi="宋体" w:cs="宋体"/>
                <w:szCs w:val="21"/>
                <w:highlight w:val="none"/>
                <w:lang w:eastAsia="zh-CN"/>
              </w:rPr>
              <w:t>了入厂检验。</w:t>
            </w:r>
          </w:p>
          <w:p>
            <w:pPr>
              <w:spacing w:line="360" w:lineRule="auto"/>
              <w:ind w:firstLine="420" w:firstLineChars="200"/>
              <w:rPr>
                <w:rFonts w:ascii="宋体" w:hAnsi="宋体" w:cs="宋体"/>
                <w:szCs w:val="21"/>
                <w:highlight w:val="yellow"/>
              </w:rPr>
            </w:pPr>
            <w:r>
              <w:rPr>
                <w:rFonts w:hint="eastAsia" w:ascii="宋体" w:hAnsi="宋体" w:cs="宋体"/>
                <w:szCs w:val="21"/>
                <w:highlight w:val="none"/>
              </w:rPr>
              <w:t>公司外部供方的管理基本符合要求。</w:t>
            </w:r>
          </w:p>
        </w:tc>
        <w:tc>
          <w:tcPr>
            <w:tcW w:w="1302"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3076"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887" w:type="dxa"/>
          </w:tcPr>
          <w:p>
            <w:pPr>
              <w:rPr>
                <w:rFonts w:ascii="宋体" w:hAnsi="宋体" w:cs="宋体"/>
                <w:b/>
                <w:szCs w:val="21"/>
              </w:rPr>
            </w:pPr>
            <w:r>
              <w:rPr>
                <w:rFonts w:hint="eastAsia" w:ascii="宋体" w:hAnsi="宋体" w:cs="宋体"/>
                <w:b/>
                <w:szCs w:val="21"/>
              </w:rPr>
              <w:t>8.4.3</w:t>
            </w:r>
          </w:p>
        </w:tc>
        <w:tc>
          <w:tcPr>
            <w:tcW w:w="9444" w:type="dxa"/>
          </w:tcPr>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负责人讲与供方沟通的内容包括：所提供的过程、产品和服务等；组织通过签订采购购销合同进行确定采购信息。</w:t>
            </w:r>
            <w:r>
              <w:rPr>
                <w:rFonts w:hint="eastAsia" w:ascii="宋体" w:hAnsi="宋体" w:cs="宋体"/>
                <w:szCs w:val="21"/>
                <w:highlight w:val="none"/>
                <w:lang w:eastAsia="zh-CN"/>
              </w:rPr>
              <w:t>公司原材料较为固定，一般按需进行采购，且均在合格供方处采购。</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查产品</w:t>
            </w:r>
            <w:r>
              <w:rPr>
                <w:rFonts w:hint="eastAsia" w:ascii="宋体" w:hAnsi="宋体" w:cs="宋体"/>
                <w:szCs w:val="21"/>
                <w:highlight w:val="none"/>
                <w:lang w:eastAsia="zh-CN"/>
              </w:rPr>
              <w:t>《采购购销合同》</w:t>
            </w:r>
          </w:p>
          <w:p>
            <w:pPr>
              <w:numPr>
                <w:ilvl w:val="0"/>
                <w:numId w:val="11"/>
              </w:num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eastAsia="zh-CN"/>
              </w:rPr>
              <w:t>供方：</w:t>
            </w:r>
            <w:r>
              <w:rPr>
                <w:rFonts w:hint="eastAsia" w:ascii="宋体" w:hAnsi="宋体" w:cs="宋体"/>
                <w:szCs w:val="21"/>
                <w:highlight w:val="none"/>
                <w:lang w:val="en-US" w:eastAsia="zh-CN"/>
              </w:rPr>
              <w:t>宁波尼兰德国际贸易有限公司</w:t>
            </w:r>
            <w:r>
              <w:rPr>
                <w:rFonts w:hint="eastAsia" w:ascii="宋体" w:hAnsi="宋体" w:cs="宋体"/>
                <w:szCs w:val="21"/>
                <w:highlight w:val="none"/>
                <w:lang w:eastAsia="zh-CN"/>
              </w:rPr>
              <w:t xml:space="preserve"> </w:t>
            </w:r>
            <w:r>
              <w:rPr>
                <w:rFonts w:hint="eastAsia" w:ascii="宋体" w:hAnsi="宋体" w:cs="宋体"/>
                <w:szCs w:val="21"/>
                <w:highlight w:val="none"/>
                <w:lang w:val="en-US" w:eastAsia="zh-CN"/>
              </w:rPr>
              <w:t xml:space="preserve"> 2021.3.12</w:t>
            </w:r>
          </w:p>
          <w:p>
            <w:pPr>
              <w:numPr>
                <w:ilvl w:val="0"/>
                <w:numId w:val="11"/>
              </w:num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磁座</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合同规定了：产品、规格、数量、价格、交期、违约等。</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2、供方：</w:t>
            </w:r>
            <w:r>
              <w:rPr>
                <w:rFonts w:hint="eastAsia" w:ascii="宋体" w:hAnsi="宋体" w:cs="宋体"/>
                <w:szCs w:val="21"/>
                <w:highlight w:val="none"/>
                <w:lang w:val="en-US" w:eastAsia="zh-CN"/>
              </w:rPr>
              <w:t>四川仁久机电设备有限责任公司  2021.3.25</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eastAsia="zh-CN"/>
              </w:rPr>
              <w:t>产品：</w:t>
            </w:r>
            <w:r>
              <w:rPr>
                <w:rFonts w:hint="eastAsia" w:ascii="宋体" w:hAnsi="宋体" w:cs="宋体"/>
                <w:szCs w:val="21"/>
                <w:highlight w:val="none"/>
                <w:lang w:val="en-US" w:eastAsia="zh-CN"/>
              </w:rPr>
              <w:t>机箱</w:t>
            </w:r>
          </w:p>
          <w:p>
            <w:pPr>
              <w:spacing w:line="360" w:lineRule="auto"/>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 xml:space="preserve">公司的采购合同明确了采购产品的具体要求，且均在合格供方处进行采购。     </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外部供方的信息管理有效。</w:t>
            </w:r>
          </w:p>
          <w:p>
            <w:pPr>
              <w:spacing w:line="360" w:lineRule="auto"/>
              <w:ind w:firstLine="420" w:firstLineChars="200"/>
              <w:rPr>
                <w:rFonts w:ascii="宋体" w:hAnsi="宋体" w:cs="宋体"/>
                <w:szCs w:val="21"/>
                <w:highlight w:val="yellow"/>
              </w:rPr>
            </w:pPr>
          </w:p>
        </w:tc>
        <w:tc>
          <w:tcPr>
            <w:tcW w:w="1302"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076"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887" w:type="dxa"/>
          </w:tcPr>
          <w:p>
            <w:pPr>
              <w:rPr>
                <w:rFonts w:ascii="宋体" w:hAnsi="宋体" w:cs="宋体"/>
                <w:b/>
                <w:szCs w:val="21"/>
              </w:rPr>
            </w:pPr>
            <w:r>
              <w:rPr>
                <w:rFonts w:hint="eastAsia" w:ascii="宋体" w:hAnsi="宋体" w:cs="宋体"/>
                <w:b/>
                <w:szCs w:val="21"/>
              </w:rPr>
              <w:t>9.1.2</w:t>
            </w:r>
          </w:p>
        </w:tc>
        <w:tc>
          <w:tcPr>
            <w:tcW w:w="944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lang w:eastAsia="zh-CN"/>
              </w:rPr>
              <w:t>》</w:t>
            </w:r>
            <w:r>
              <w:rPr>
                <w:rFonts w:hint="eastAsia" w:ascii="宋体" w:hAnsi="宋体" w:cs="宋体"/>
                <w:szCs w:val="21"/>
              </w:rPr>
              <w:t>，规定了监测、获取和利用顾客满意信息的方法。包括问卷调查，直接沟通、数据分析等。</w:t>
            </w:r>
          </w:p>
          <w:p>
            <w:pPr>
              <w:spacing w:line="360" w:lineRule="auto"/>
              <w:rPr>
                <w:rFonts w:hint="eastAsia"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w:t>
            </w:r>
            <w:r>
              <w:rPr>
                <w:rFonts w:hint="eastAsia" w:ascii="宋体" w:hAnsi="宋体" w:cs="宋体"/>
                <w:color w:val="000000"/>
                <w:szCs w:val="21"/>
                <w:lang w:val="en-US" w:eastAsia="zh-CN"/>
              </w:rPr>
              <w:t>21</w:t>
            </w:r>
            <w:r>
              <w:rPr>
                <w:rFonts w:hint="eastAsia" w:ascii="宋体" w:hAnsi="宋体" w:cs="宋体"/>
                <w:color w:val="000000"/>
                <w:szCs w:val="21"/>
              </w:rPr>
              <w:t>年</w:t>
            </w:r>
            <w:r>
              <w:rPr>
                <w:rFonts w:hint="eastAsia" w:ascii="宋体" w:hAnsi="宋体" w:cs="宋体"/>
                <w:color w:val="000000"/>
                <w:szCs w:val="21"/>
                <w:lang w:val="en-US" w:eastAsia="zh-CN"/>
              </w:rPr>
              <w:t>3</w:t>
            </w:r>
            <w:r>
              <w:rPr>
                <w:rFonts w:hint="eastAsia" w:ascii="宋体" w:hAnsi="宋体" w:cs="宋体"/>
                <w:color w:val="000000"/>
                <w:szCs w:val="21"/>
              </w:rPr>
              <w:t>月的调查表共</w:t>
            </w:r>
            <w:r>
              <w:rPr>
                <w:rFonts w:hint="eastAsia" w:ascii="宋体" w:hAnsi="宋体" w:cs="宋体"/>
                <w:color w:val="000000"/>
                <w:szCs w:val="21"/>
                <w:lang w:val="en-US" w:eastAsia="zh-CN"/>
              </w:rPr>
              <w:t>3</w:t>
            </w:r>
            <w:r>
              <w:rPr>
                <w:rFonts w:hint="eastAsia" w:ascii="宋体" w:hAnsi="宋体" w:cs="宋体"/>
                <w:color w:val="000000"/>
                <w:szCs w:val="21"/>
              </w:rPr>
              <w:t>份，回收</w:t>
            </w:r>
            <w:r>
              <w:rPr>
                <w:rFonts w:hint="eastAsia" w:ascii="宋体" w:hAnsi="宋体" w:cs="宋体"/>
                <w:color w:val="000000"/>
                <w:szCs w:val="21"/>
                <w:lang w:val="en-US" w:eastAsia="zh-CN"/>
              </w:rPr>
              <w:t>3</w:t>
            </w:r>
            <w:r>
              <w:rPr>
                <w:rFonts w:hint="eastAsia" w:ascii="宋体" w:hAnsi="宋体" w:cs="宋体"/>
                <w:color w:val="000000"/>
                <w:szCs w:val="21"/>
              </w:rPr>
              <w:t>份 ：</w:t>
            </w:r>
          </w:p>
          <w:p>
            <w:pPr>
              <w:spacing w:line="360" w:lineRule="auto"/>
              <w:rPr>
                <w:rFonts w:hint="eastAsia" w:ascii="宋体" w:hAnsi="宋体" w:cs="宋体"/>
                <w:color w:val="000000"/>
                <w:szCs w:val="21"/>
              </w:rPr>
            </w:pPr>
            <w:r>
              <w:rPr>
                <w:rFonts w:hint="eastAsia" w:ascii="宋体" w:hAnsi="宋体" w:cs="宋体"/>
                <w:color w:val="000000"/>
                <w:szCs w:val="21"/>
              </w:rPr>
              <w:t>--调查内容包括：质量、</w:t>
            </w:r>
            <w:r>
              <w:rPr>
                <w:rFonts w:hint="eastAsia" w:ascii="宋体" w:hAnsi="宋体" w:cs="宋体"/>
                <w:color w:val="000000"/>
                <w:szCs w:val="21"/>
                <w:lang w:eastAsia="zh-CN"/>
              </w:rPr>
              <w:t>服务</w:t>
            </w:r>
            <w:r>
              <w:rPr>
                <w:rFonts w:hint="eastAsia" w:ascii="宋体" w:hAnsi="宋体" w:cs="宋体"/>
                <w:color w:val="000000"/>
                <w:szCs w:val="21"/>
              </w:rPr>
              <w:t>、价格、交期等.</w:t>
            </w:r>
          </w:p>
          <w:p>
            <w:pPr>
              <w:spacing w:line="360" w:lineRule="auto"/>
              <w:rPr>
                <w:rFonts w:hint="eastAsia" w:ascii="宋体" w:hAnsi="宋体" w:cs="宋体"/>
                <w:color w:val="000000"/>
                <w:szCs w:val="21"/>
              </w:rPr>
            </w:pPr>
            <w:r>
              <w:rPr>
                <w:rFonts w:hint="eastAsia" w:ascii="宋体" w:hAnsi="宋体" w:cs="宋体"/>
                <w:color w:val="000000"/>
                <w:szCs w:val="21"/>
              </w:rPr>
              <w:t>---但客户对质量、</w:t>
            </w:r>
            <w:r>
              <w:rPr>
                <w:rFonts w:hint="eastAsia" w:ascii="宋体" w:hAnsi="宋体" w:cs="宋体"/>
                <w:color w:val="000000"/>
                <w:szCs w:val="21"/>
                <w:lang w:eastAsia="zh-CN"/>
              </w:rPr>
              <w:t>服务</w:t>
            </w:r>
            <w:r>
              <w:rPr>
                <w:rFonts w:hint="eastAsia" w:ascii="宋体" w:hAnsi="宋体" w:cs="宋体"/>
                <w:color w:val="000000"/>
                <w:szCs w:val="21"/>
              </w:rPr>
              <w:t>、价格、交期等项都比较满意。</w:t>
            </w:r>
          </w:p>
          <w:p>
            <w:pPr>
              <w:spacing w:line="360" w:lineRule="auto"/>
              <w:rPr>
                <w:rFonts w:hint="eastAsia" w:ascii="宋体" w:hAnsi="宋体" w:cs="宋体"/>
                <w:color w:val="000000"/>
                <w:szCs w:val="21"/>
              </w:rPr>
            </w:pPr>
            <w:r>
              <w:rPr>
                <w:rFonts w:hint="eastAsia" w:ascii="宋体" w:hAnsi="宋体" w:cs="宋体"/>
                <w:color w:val="000000"/>
                <w:szCs w:val="21"/>
              </w:rPr>
              <w:t>--统计分析结果：9</w:t>
            </w:r>
            <w:r>
              <w:rPr>
                <w:rFonts w:hint="eastAsia" w:ascii="宋体" w:hAnsi="宋体" w:cs="宋体"/>
                <w:color w:val="000000"/>
                <w:szCs w:val="21"/>
                <w:lang w:val="en-US" w:eastAsia="zh-CN"/>
              </w:rPr>
              <w:t>8%</w:t>
            </w:r>
            <w:r>
              <w:rPr>
                <w:rFonts w:hint="eastAsia" w:ascii="宋体" w:hAnsi="宋体" w:cs="宋体"/>
                <w:color w:val="000000"/>
                <w:szCs w:val="21"/>
              </w:rPr>
              <w:t>（已实现既定目标）</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公司负责人讲：通过本次对</w:t>
            </w:r>
            <w:r>
              <w:rPr>
                <w:rFonts w:hint="eastAsia" w:ascii="宋体" w:hAnsi="宋体" w:cs="宋体"/>
                <w:color w:val="000000"/>
                <w:szCs w:val="21"/>
                <w:lang w:val="en-US" w:eastAsia="zh-CN"/>
              </w:rPr>
              <w:t>3</w:t>
            </w:r>
            <w:r>
              <w:rPr>
                <w:rFonts w:hint="eastAsia" w:ascii="宋体" w:hAnsi="宋体" w:cs="宋体"/>
                <w:color w:val="000000"/>
                <w:szCs w:val="21"/>
              </w:rPr>
              <w:t>家顾客进行满意度调查，从统计结果可以看出，顾客对公司的</w:t>
            </w:r>
            <w:r>
              <w:rPr>
                <w:rFonts w:hint="eastAsia" w:ascii="宋体" w:hAnsi="宋体" w:cs="宋体"/>
                <w:color w:val="000000"/>
                <w:szCs w:val="21"/>
                <w:lang w:val="en-US" w:eastAsia="zh-CN"/>
              </w:rPr>
              <w:t>服务质量</w:t>
            </w:r>
            <w:r>
              <w:rPr>
                <w:rFonts w:hint="eastAsia" w:ascii="宋体" w:hAnsi="宋体" w:cs="宋体"/>
                <w:color w:val="000000"/>
                <w:szCs w:val="21"/>
              </w:rPr>
              <w:t>满意</w:t>
            </w:r>
            <w:r>
              <w:rPr>
                <w:rFonts w:hint="eastAsia" w:ascii="宋体" w:hAnsi="宋体" w:cs="宋体"/>
                <w:color w:val="000000"/>
                <w:szCs w:val="21"/>
                <w:lang w:eastAsia="zh-CN"/>
              </w:rPr>
              <w:t>度</w:t>
            </w:r>
            <w:r>
              <w:rPr>
                <w:rFonts w:hint="eastAsia" w:ascii="宋体" w:hAnsi="宋体" w:cs="宋体"/>
                <w:color w:val="000000"/>
                <w:szCs w:val="21"/>
              </w:rPr>
              <w:t>较</w:t>
            </w:r>
            <w:r>
              <w:rPr>
                <w:rFonts w:hint="eastAsia" w:ascii="宋体" w:hAnsi="宋体" w:cs="宋体"/>
                <w:color w:val="000000"/>
                <w:szCs w:val="21"/>
                <w:lang w:eastAsia="zh-CN"/>
              </w:rPr>
              <w:t>差</w:t>
            </w:r>
            <w:r>
              <w:rPr>
                <w:rFonts w:hint="eastAsia" w:ascii="宋体" w:hAnsi="宋体" w:cs="宋体"/>
                <w:color w:val="000000"/>
                <w:szCs w:val="21"/>
              </w:rPr>
              <w:t>。</w:t>
            </w:r>
            <w:r>
              <w:rPr>
                <w:rFonts w:hint="eastAsia" w:ascii="宋体" w:hAnsi="宋体" w:cs="宋体"/>
                <w:color w:val="000000"/>
                <w:szCs w:val="21"/>
                <w:lang w:eastAsia="zh-CN"/>
              </w:rPr>
              <w:t>对该次满意度调查进行了数据分析，制定了改进措施。</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302" w:type="dxa"/>
          </w:tcPr>
          <w:p>
            <w:r>
              <w:rPr>
                <w:rFonts w:hint="eastAsia"/>
                <w:lang w:val="en-US" w:eastAsia="zh-CN"/>
              </w:rPr>
              <w:t>合格</w:t>
            </w:r>
          </w:p>
        </w:tc>
      </w:tr>
    </w:tbl>
    <w:p>
      <w:pPr>
        <w:pStyle w:val="10"/>
        <w:rPr>
          <w:rFonts w:ascii="隶书" w:hAnsi="宋体" w:eastAsia="隶书"/>
          <w:bCs/>
          <w:color w:val="000000"/>
          <w:sz w:val="36"/>
          <w:szCs w:val="36"/>
        </w:rPr>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1"/>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lang w:eastAsia="zh-CN"/>
                  </w:rPr>
                  <w:t>ISC-B-II-12(05版）</w:t>
                </w:r>
                <w:r>
                  <w:rPr>
                    <w:rFonts w:hint="eastAsia"/>
                    <w:sz w:val="18"/>
                    <w:szCs w:val="18"/>
                  </w:rPr>
                  <w:t>(03版)</w:t>
                </w:r>
              </w:p>
            </w:txbxContent>
          </v:textbox>
        </v:shape>
      </w:pict>
    </w:r>
    <w:r>
      <w:rPr>
        <w:rStyle w:val="18"/>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26287"/>
    <w:multiLevelType w:val="singleLevel"/>
    <w:tmpl w:val="F1B26287"/>
    <w:lvl w:ilvl="0" w:tentative="0">
      <w:start w:val="6"/>
      <w:numFmt w:val="decimal"/>
      <w:suff w:val="nothing"/>
      <w:lvlText w:val="%1、"/>
      <w:lvlJc w:val="left"/>
      <w:pPr>
        <w:ind w:left="105" w:firstLine="0"/>
      </w:pPr>
    </w:lvl>
  </w:abstractNum>
  <w:abstractNum w:abstractNumId="1">
    <w:nsid w:val="09941FB3"/>
    <w:multiLevelType w:val="singleLevel"/>
    <w:tmpl w:val="09941FB3"/>
    <w:lvl w:ilvl="0" w:tentative="0">
      <w:start w:val="1"/>
      <w:numFmt w:val="decimal"/>
      <w:suff w:val="nothing"/>
      <w:lvlText w:val="%1、"/>
      <w:lvlJc w:val="left"/>
    </w:lvl>
  </w:abstractNum>
  <w:abstractNum w:abstractNumId="2">
    <w:nsid w:val="0AB5AE1C"/>
    <w:multiLevelType w:val="singleLevel"/>
    <w:tmpl w:val="0AB5AE1C"/>
    <w:lvl w:ilvl="0" w:tentative="0">
      <w:start w:val="1"/>
      <w:numFmt w:val="decimal"/>
      <w:suff w:val="nothing"/>
      <w:lvlText w:val="%1、"/>
      <w:lvlJc w:val="left"/>
    </w:lvl>
  </w:abstractNum>
  <w:abstractNum w:abstractNumId="3">
    <w:nsid w:val="12161BD3"/>
    <w:multiLevelType w:val="multilevel"/>
    <w:tmpl w:val="12161BD3"/>
    <w:lvl w:ilvl="0" w:tentative="0">
      <w:start w:val="1"/>
      <w:numFmt w:val="bullet"/>
      <w:pStyle w:val="2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C60097B"/>
    <w:multiLevelType w:val="multilevel"/>
    <w:tmpl w:val="2C60097B"/>
    <w:lvl w:ilvl="0" w:tentative="0">
      <w:start w:val="1"/>
      <w:numFmt w:val="decimal"/>
      <w:lvlText w:val="%1."/>
      <w:lvlJc w:val="left"/>
      <w:pPr>
        <w:ind w:left="860" w:hanging="420"/>
      </w:pPr>
      <w:rPr>
        <w:rFonts w:hint="eastAsia"/>
      </w:rPr>
    </w:lvl>
    <w:lvl w:ilvl="1" w:tentative="0">
      <w:start w:val="1"/>
      <w:numFmt w:val="decimal"/>
      <w:pStyle w:val="25"/>
      <w:lvlText w:val="%1.%2"/>
      <w:lvlJc w:val="left"/>
      <w:pPr>
        <w:ind w:left="1280" w:hanging="420"/>
      </w:pPr>
      <w:rPr>
        <w:rFonts w:hint="eastAsia"/>
      </w:rPr>
    </w:lvl>
    <w:lvl w:ilvl="2" w:tentative="0">
      <w:start w:val="1"/>
      <w:numFmt w:val="decimal"/>
      <w:pStyle w:val="26"/>
      <w:lvlText w:val="%1.%2.%3"/>
      <w:lvlJc w:val="right"/>
      <w:pPr>
        <w:ind w:left="1700" w:hanging="420"/>
      </w:pPr>
      <w:rPr>
        <w:rFonts w:hint="eastAsia"/>
      </w:rPr>
    </w:lvl>
    <w:lvl w:ilvl="3" w:tentative="0">
      <w:start w:val="1"/>
      <w:numFmt w:val="decimal"/>
      <w:lvlText w:val="%4."/>
      <w:lvlJc w:val="left"/>
      <w:pPr>
        <w:ind w:left="2120" w:hanging="420"/>
      </w:pPr>
      <w:rPr>
        <w:rFonts w:hint="eastAsia"/>
      </w:rPr>
    </w:lvl>
    <w:lvl w:ilvl="4" w:tentative="0">
      <w:start w:val="1"/>
      <w:numFmt w:val="lowerLetter"/>
      <w:lvlText w:val="%5)"/>
      <w:lvlJc w:val="left"/>
      <w:pPr>
        <w:ind w:left="2540" w:hanging="420"/>
      </w:pPr>
      <w:rPr>
        <w:rFonts w:hint="eastAsia"/>
      </w:rPr>
    </w:lvl>
    <w:lvl w:ilvl="5" w:tentative="0">
      <w:start w:val="1"/>
      <w:numFmt w:val="lowerRoman"/>
      <w:lvlText w:val="%6."/>
      <w:lvlJc w:val="right"/>
      <w:pPr>
        <w:ind w:left="2960" w:hanging="420"/>
      </w:pPr>
      <w:rPr>
        <w:rFonts w:hint="eastAsia"/>
      </w:rPr>
    </w:lvl>
    <w:lvl w:ilvl="6" w:tentative="0">
      <w:start w:val="1"/>
      <w:numFmt w:val="decimal"/>
      <w:lvlText w:val="%7."/>
      <w:lvlJc w:val="left"/>
      <w:pPr>
        <w:ind w:left="3380" w:hanging="420"/>
      </w:pPr>
      <w:rPr>
        <w:rFonts w:hint="eastAsia"/>
      </w:rPr>
    </w:lvl>
    <w:lvl w:ilvl="7" w:tentative="0">
      <w:start w:val="1"/>
      <w:numFmt w:val="lowerLetter"/>
      <w:lvlText w:val="%8)"/>
      <w:lvlJc w:val="left"/>
      <w:pPr>
        <w:ind w:left="3800" w:hanging="420"/>
      </w:pPr>
      <w:rPr>
        <w:rFonts w:hint="eastAsia"/>
      </w:rPr>
    </w:lvl>
    <w:lvl w:ilvl="8" w:tentative="0">
      <w:start w:val="1"/>
      <w:numFmt w:val="lowerRoman"/>
      <w:lvlText w:val="%9."/>
      <w:lvlJc w:val="right"/>
      <w:pPr>
        <w:ind w:left="4220" w:hanging="420"/>
      </w:pPr>
      <w:rPr>
        <w:rFonts w:hint="eastAsia"/>
      </w:rPr>
    </w:lvl>
  </w:abstractNum>
  <w:abstractNum w:abstractNumId="5">
    <w:nsid w:val="3897390B"/>
    <w:multiLevelType w:val="multilevel"/>
    <w:tmpl w:val="3897390B"/>
    <w:lvl w:ilvl="0" w:tentative="0">
      <w:start w:val="1"/>
      <w:numFmt w:val="chineseCountingThousand"/>
      <w:pStyle w:val="3"/>
      <w:lvlText w:val="%1. "/>
      <w:lvlJc w:val="left"/>
      <w:pPr>
        <w:tabs>
          <w:tab w:val="left" w:pos="432"/>
        </w:tabs>
        <w:ind w:left="432" w:hanging="432"/>
      </w:pPr>
      <w:rPr>
        <w:rFonts w:hint="eastAsia"/>
      </w:rPr>
    </w:lvl>
    <w:lvl w:ilvl="1" w:tentative="0">
      <w:start w:val="1"/>
      <w:numFmt w:val="decimal"/>
      <w:pStyle w:val="5"/>
      <w:isLgl/>
      <w:lvlText w:val="%1.%2"/>
      <w:lvlJc w:val="left"/>
      <w:pPr>
        <w:tabs>
          <w:tab w:val="left" w:pos="576"/>
        </w:tabs>
        <w:ind w:left="576" w:hanging="576"/>
      </w:pPr>
      <w:rPr>
        <w:rFonts w:hint="eastAsia"/>
      </w:rPr>
    </w:lvl>
    <w:lvl w:ilvl="2" w:tentative="0">
      <w:start w:val="1"/>
      <w:numFmt w:val="decimal"/>
      <w:pStyle w:val="6"/>
      <w:isLgl/>
      <w:lvlText w:val="%1.%2.%3"/>
      <w:lvlJc w:val="left"/>
      <w:pPr>
        <w:tabs>
          <w:tab w:val="left" w:pos="720"/>
        </w:tabs>
        <w:ind w:left="720" w:hanging="720"/>
      </w:pPr>
      <w:rPr>
        <w:rFonts w:hint="eastAsia"/>
      </w:rPr>
    </w:lvl>
    <w:lvl w:ilvl="3" w:tentative="0">
      <w:start w:val="1"/>
      <w:numFmt w:val="decimal"/>
      <w:isLg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50C7353E"/>
    <w:multiLevelType w:val="multilevel"/>
    <w:tmpl w:val="50C735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9BF21E7"/>
    <w:multiLevelType w:val="singleLevel"/>
    <w:tmpl w:val="59BF21E7"/>
    <w:lvl w:ilvl="0" w:tentative="0">
      <w:start w:val="1"/>
      <w:numFmt w:val="decimal"/>
      <w:suff w:val="nothing"/>
      <w:lvlText w:val="%1、"/>
      <w:lvlJc w:val="left"/>
    </w:lvl>
  </w:abstractNum>
  <w:abstractNum w:abstractNumId="8">
    <w:nsid w:val="636876A8"/>
    <w:multiLevelType w:val="singleLevel"/>
    <w:tmpl w:val="636876A8"/>
    <w:lvl w:ilvl="0" w:tentative="0">
      <w:start w:val="1"/>
      <w:numFmt w:val="decimal"/>
      <w:suff w:val="nothing"/>
      <w:lvlText w:val="%1、"/>
      <w:lvlJc w:val="left"/>
    </w:lvl>
  </w:abstractNum>
  <w:abstractNum w:abstractNumId="9">
    <w:nsid w:val="73863FAD"/>
    <w:multiLevelType w:val="multilevel"/>
    <w:tmpl w:val="73863FA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8CF94E6"/>
    <w:multiLevelType w:val="singleLevel"/>
    <w:tmpl w:val="78CF94E6"/>
    <w:lvl w:ilvl="0" w:tentative="0">
      <w:start w:val="1"/>
      <w:numFmt w:val="decimal"/>
      <w:suff w:val="nothing"/>
      <w:lvlText w:val="%1）"/>
      <w:lvlJc w:val="left"/>
    </w:lvl>
  </w:abstractNum>
  <w:num w:numId="1">
    <w:abstractNumId w:val="5"/>
  </w:num>
  <w:num w:numId="2">
    <w:abstractNumId w:val="4"/>
  </w:num>
  <w:num w:numId="3">
    <w:abstractNumId w:val="3"/>
  </w:num>
  <w:num w:numId="4">
    <w:abstractNumId w:val="7"/>
  </w:num>
  <w:num w:numId="5">
    <w:abstractNumId w:val="8"/>
  </w:num>
  <w:num w:numId="6">
    <w:abstractNumId w:val="9"/>
  </w:num>
  <w:num w:numId="7">
    <w:abstractNumId w:val="6"/>
  </w:num>
  <w:num w:numId="8">
    <w:abstractNumId w:val="0"/>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49F7"/>
    <w:rsid w:val="000C5CF4"/>
    <w:rsid w:val="00156BDB"/>
    <w:rsid w:val="001779F8"/>
    <w:rsid w:val="00191F34"/>
    <w:rsid w:val="001A2D7F"/>
    <w:rsid w:val="001B4559"/>
    <w:rsid w:val="001C3D64"/>
    <w:rsid w:val="001F19B3"/>
    <w:rsid w:val="001F4076"/>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31709"/>
    <w:rsid w:val="00461F69"/>
    <w:rsid w:val="00484C75"/>
    <w:rsid w:val="004867BB"/>
    <w:rsid w:val="00490D95"/>
    <w:rsid w:val="004E6218"/>
    <w:rsid w:val="004F1ABA"/>
    <w:rsid w:val="005323B7"/>
    <w:rsid w:val="00536930"/>
    <w:rsid w:val="00541113"/>
    <w:rsid w:val="00550F48"/>
    <w:rsid w:val="00564E53"/>
    <w:rsid w:val="00597E56"/>
    <w:rsid w:val="005B4D5E"/>
    <w:rsid w:val="005D5659"/>
    <w:rsid w:val="005E3396"/>
    <w:rsid w:val="00600C20"/>
    <w:rsid w:val="00604D34"/>
    <w:rsid w:val="00623A8D"/>
    <w:rsid w:val="00630D8A"/>
    <w:rsid w:val="006329B3"/>
    <w:rsid w:val="006329B8"/>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0E7F"/>
    <w:rsid w:val="008B5CA5"/>
    <w:rsid w:val="009051F4"/>
    <w:rsid w:val="00907EF3"/>
    <w:rsid w:val="009272D8"/>
    <w:rsid w:val="00937726"/>
    <w:rsid w:val="00940CD3"/>
    <w:rsid w:val="00971600"/>
    <w:rsid w:val="0097622D"/>
    <w:rsid w:val="00977722"/>
    <w:rsid w:val="00982346"/>
    <w:rsid w:val="009973B4"/>
    <w:rsid w:val="009A0715"/>
    <w:rsid w:val="009B29DE"/>
    <w:rsid w:val="009C28C1"/>
    <w:rsid w:val="009E35BD"/>
    <w:rsid w:val="009F7EED"/>
    <w:rsid w:val="00A30B0E"/>
    <w:rsid w:val="00A47575"/>
    <w:rsid w:val="00A503EF"/>
    <w:rsid w:val="00A80636"/>
    <w:rsid w:val="00A95188"/>
    <w:rsid w:val="00AA1432"/>
    <w:rsid w:val="00AB7B75"/>
    <w:rsid w:val="00AD430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050A"/>
    <w:rsid w:val="00FF2AC6"/>
    <w:rsid w:val="010D2637"/>
    <w:rsid w:val="01171237"/>
    <w:rsid w:val="012026DC"/>
    <w:rsid w:val="01490194"/>
    <w:rsid w:val="0161638F"/>
    <w:rsid w:val="01627375"/>
    <w:rsid w:val="019B1F48"/>
    <w:rsid w:val="01AB381A"/>
    <w:rsid w:val="01BE45C2"/>
    <w:rsid w:val="01BE695F"/>
    <w:rsid w:val="01DE2CFC"/>
    <w:rsid w:val="020107F8"/>
    <w:rsid w:val="020A49B8"/>
    <w:rsid w:val="02253797"/>
    <w:rsid w:val="02485E3A"/>
    <w:rsid w:val="02496002"/>
    <w:rsid w:val="026B770F"/>
    <w:rsid w:val="028B5FF7"/>
    <w:rsid w:val="02906A82"/>
    <w:rsid w:val="02994782"/>
    <w:rsid w:val="029A5DCF"/>
    <w:rsid w:val="02BC65C3"/>
    <w:rsid w:val="02BE13CD"/>
    <w:rsid w:val="02C64B59"/>
    <w:rsid w:val="02D87E5C"/>
    <w:rsid w:val="02DB5B08"/>
    <w:rsid w:val="030A44CA"/>
    <w:rsid w:val="033E205F"/>
    <w:rsid w:val="035E7ECA"/>
    <w:rsid w:val="03640EBD"/>
    <w:rsid w:val="038933A6"/>
    <w:rsid w:val="03920EE1"/>
    <w:rsid w:val="039B39B4"/>
    <w:rsid w:val="03CE2DBA"/>
    <w:rsid w:val="03EB3DE7"/>
    <w:rsid w:val="04173607"/>
    <w:rsid w:val="04212269"/>
    <w:rsid w:val="042B6A01"/>
    <w:rsid w:val="044475CD"/>
    <w:rsid w:val="046540FD"/>
    <w:rsid w:val="048156FF"/>
    <w:rsid w:val="04D133E8"/>
    <w:rsid w:val="04DA2AFF"/>
    <w:rsid w:val="04E71A99"/>
    <w:rsid w:val="04F32E0F"/>
    <w:rsid w:val="04F41B80"/>
    <w:rsid w:val="05014C2E"/>
    <w:rsid w:val="05043775"/>
    <w:rsid w:val="051C1C41"/>
    <w:rsid w:val="051F5989"/>
    <w:rsid w:val="055F53BD"/>
    <w:rsid w:val="05816C38"/>
    <w:rsid w:val="05A06A82"/>
    <w:rsid w:val="05AE7EE9"/>
    <w:rsid w:val="05E53A9D"/>
    <w:rsid w:val="062A548C"/>
    <w:rsid w:val="063257CE"/>
    <w:rsid w:val="063A2BEC"/>
    <w:rsid w:val="064E223D"/>
    <w:rsid w:val="066B2C54"/>
    <w:rsid w:val="06715DEE"/>
    <w:rsid w:val="06AA5BCF"/>
    <w:rsid w:val="06D25AFB"/>
    <w:rsid w:val="06DA70E5"/>
    <w:rsid w:val="06DC528E"/>
    <w:rsid w:val="06FC2DDA"/>
    <w:rsid w:val="070A7239"/>
    <w:rsid w:val="072E6175"/>
    <w:rsid w:val="074354A5"/>
    <w:rsid w:val="074467C0"/>
    <w:rsid w:val="078566E0"/>
    <w:rsid w:val="078F665E"/>
    <w:rsid w:val="07914635"/>
    <w:rsid w:val="079A3A06"/>
    <w:rsid w:val="07B24588"/>
    <w:rsid w:val="07B5433B"/>
    <w:rsid w:val="07B56D92"/>
    <w:rsid w:val="07DA41DA"/>
    <w:rsid w:val="08126478"/>
    <w:rsid w:val="08215338"/>
    <w:rsid w:val="082E191C"/>
    <w:rsid w:val="083F3537"/>
    <w:rsid w:val="0866764A"/>
    <w:rsid w:val="087248A0"/>
    <w:rsid w:val="088231D8"/>
    <w:rsid w:val="088C0320"/>
    <w:rsid w:val="08941D1C"/>
    <w:rsid w:val="089A4EC7"/>
    <w:rsid w:val="08AB374B"/>
    <w:rsid w:val="08B16D99"/>
    <w:rsid w:val="08B6587C"/>
    <w:rsid w:val="08BF7FAB"/>
    <w:rsid w:val="08C32C88"/>
    <w:rsid w:val="08CF023F"/>
    <w:rsid w:val="08EF0256"/>
    <w:rsid w:val="08F94256"/>
    <w:rsid w:val="09040B8A"/>
    <w:rsid w:val="09162DAF"/>
    <w:rsid w:val="092628F7"/>
    <w:rsid w:val="092E1CE8"/>
    <w:rsid w:val="094C3FE3"/>
    <w:rsid w:val="09575DA5"/>
    <w:rsid w:val="097B7F93"/>
    <w:rsid w:val="09BB0B45"/>
    <w:rsid w:val="09D543C7"/>
    <w:rsid w:val="09D613AE"/>
    <w:rsid w:val="09E80561"/>
    <w:rsid w:val="09ED1482"/>
    <w:rsid w:val="09F36D21"/>
    <w:rsid w:val="0A0A7811"/>
    <w:rsid w:val="0A0D6FDF"/>
    <w:rsid w:val="0A1644A2"/>
    <w:rsid w:val="0A206BD1"/>
    <w:rsid w:val="0A303874"/>
    <w:rsid w:val="0A312819"/>
    <w:rsid w:val="0A662DC9"/>
    <w:rsid w:val="0A6A3877"/>
    <w:rsid w:val="0A823E4F"/>
    <w:rsid w:val="0AAF5157"/>
    <w:rsid w:val="0ACC0733"/>
    <w:rsid w:val="0AE64B0A"/>
    <w:rsid w:val="0AEB3B2D"/>
    <w:rsid w:val="0AF35B8A"/>
    <w:rsid w:val="0B1552BC"/>
    <w:rsid w:val="0B2405A7"/>
    <w:rsid w:val="0B3277D2"/>
    <w:rsid w:val="0B352389"/>
    <w:rsid w:val="0B3A24C6"/>
    <w:rsid w:val="0B870AC0"/>
    <w:rsid w:val="0B8F4D3B"/>
    <w:rsid w:val="0BA336EA"/>
    <w:rsid w:val="0BC64B54"/>
    <w:rsid w:val="0BE40487"/>
    <w:rsid w:val="0BE919A5"/>
    <w:rsid w:val="0BF07597"/>
    <w:rsid w:val="0C1F6C75"/>
    <w:rsid w:val="0C233613"/>
    <w:rsid w:val="0C520637"/>
    <w:rsid w:val="0C534B50"/>
    <w:rsid w:val="0C55133B"/>
    <w:rsid w:val="0C571A6E"/>
    <w:rsid w:val="0C591DD8"/>
    <w:rsid w:val="0C787740"/>
    <w:rsid w:val="0C810E28"/>
    <w:rsid w:val="0C8B5EE6"/>
    <w:rsid w:val="0CA56B94"/>
    <w:rsid w:val="0CA95AAB"/>
    <w:rsid w:val="0CB44556"/>
    <w:rsid w:val="0CB97F40"/>
    <w:rsid w:val="0CD566A3"/>
    <w:rsid w:val="0CEE1407"/>
    <w:rsid w:val="0D136D0F"/>
    <w:rsid w:val="0D2C5D5C"/>
    <w:rsid w:val="0D570EA2"/>
    <w:rsid w:val="0D5B5F83"/>
    <w:rsid w:val="0D693DCB"/>
    <w:rsid w:val="0D742C34"/>
    <w:rsid w:val="0D7F4546"/>
    <w:rsid w:val="0D8C63C2"/>
    <w:rsid w:val="0DA11654"/>
    <w:rsid w:val="0DBD72D0"/>
    <w:rsid w:val="0DE32F15"/>
    <w:rsid w:val="0DE56B78"/>
    <w:rsid w:val="0E120358"/>
    <w:rsid w:val="0E35329C"/>
    <w:rsid w:val="0E3B2C02"/>
    <w:rsid w:val="0E517280"/>
    <w:rsid w:val="0E5D2797"/>
    <w:rsid w:val="0E6F39BB"/>
    <w:rsid w:val="0E8114E7"/>
    <w:rsid w:val="0E8A6B39"/>
    <w:rsid w:val="0EAD2651"/>
    <w:rsid w:val="0EAD73AA"/>
    <w:rsid w:val="0ECE130A"/>
    <w:rsid w:val="0ED44E03"/>
    <w:rsid w:val="0EE408DE"/>
    <w:rsid w:val="0EF46859"/>
    <w:rsid w:val="0F047A4C"/>
    <w:rsid w:val="0F2F714B"/>
    <w:rsid w:val="0F3B2E88"/>
    <w:rsid w:val="0F3B373F"/>
    <w:rsid w:val="0F507361"/>
    <w:rsid w:val="0F525BC4"/>
    <w:rsid w:val="0F56702A"/>
    <w:rsid w:val="0F646DF3"/>
    <w:rsid w:val="0F751563"/>
    <w:rsid w:val="0F87782A"/>
    <w:rsid w:val="0F984F7F"/>
    <w:rsid w:val="0FA279C3"/>
    <w:rsid w:val="0FF57921"/>
    <w:rsid w:val="10005544"/>
    <w:rsid w:val="10041A5A"/>
    <w:rsid w:val="10490D82"/>
    <w:rsid w:val="104A4BD9"/>
    <w:rsid w:val="105073F3"/>
    <w:rsid w:val="106114D1"/>
    <w:rsid w:val="10662DD5"/>
    <w:rsid w:val="107A29A5"/>
    <w:rsid w:val="107E0025"/>
    <w:rsid w:val="108219C2"/>
    <w:rsid w:val="10850E3B"/>
    <w:rsid w:val="109A5DA7"/>
    <w:rsid w:val="10A90E0D"/>
    <w:rsid w:val="10BB189A"/>
    <w:rsid w:val="10BB4124"/>
    <w:rsid w:val="10EB1C23"/>
    <w:rsid w:val="11014B03"/>
    <w:rsid w:val="110744C8"/>
    <w:rsid w:val="1115164B"/>
    <w:rsid w:val="111B596C"/>
    <w:rsid w:val="112B12C0"/>
    <w:rsid w:val="11494FCA"/>
    <w:rsid w:val="116D4C69"/>
    <w:rsid w:val="11864BB7"/>
    <w:rsid w:val="1191631F"/>
    <w:rsid w:val="1197573E"/>
    <w:rsid w:val="11A90052"/>
    <w:rsid w:val="11EC02AC"/>
    <w:rsid w:val="11F040E2"/>
    <w:rsid w:val="11F26318"/>
    <w:rsid w:val="11F342D2"/>
    <w:rsid w:val="11F65EED"/>
    <w:rsid w:val="12100CA1"/>
    <w:rsid w:val="12182DA5"/>
    <w:rsid w:val="121B2557"/>
    <w:rsid w:val="12211F34"/>
    <w:rsid w:val="123857A1"/>
    <w:rsid w:val="1254195E"/>
    <w:rsid w:val="12683E9B"/>
    <w:rsid w:val="126B257A"/>
    <w:rsid w:val="127708E6"/>
    <w:rsid w:val="127A5BD2"/>
    <w:rsid w:val="129A5707"/>
    <w:rsid w:val="12AC31AE"/>
    <w:rsid w:val="12B72162"/>
    <w:rsid w:val="12D32564"/>
    <w:rsid w:val="12E17631"/>
    <w:rsid w:val="13117B6B"/>
    <w:rsid w:val="1328676B"/>
    <w:rsid w:val="132C487A"/>
    <w:rsid w:val="132F37D9"/>
    <w:rsid w:val="13331E1C"/>
    <w:rsid w:val="133D51F4"/>
    <w:rsid w:val="134224AD"/>
    <w:rsid w:val="13483360"/>
    <w:rsid w:val="1355212B"/>
    <w:rsid w:val="13864AAB"/>
    <w:rsid w:val="13873A5E"/>
    <w:rsid w:val="13917B20"/>
    <w:rsid w:val="139F4E73"/>
    <w:rsid w:val="13AE0731"/>
    <w:rsid w:val="13DA45E2"/>
    <w:rsid w:val="14567DFE"/>
    <w:rsid w:val="145C43D7"/>
    <w:rsid w:val="146A5294"/>
    <w:rsid w:val="149D64E1"/>
    <w:rsid w:val="14A06BAF"/>
    <w:rsid w:val="14B61375"/>
    <w:rsid w:val="14C86F7D"/>
    <w:rsid w:val="14CB704C"/>
    <w:rsid w:val="150530E3"/>
    <w:rsid w:val="150A44DD"/>
    <w:rsid w:val="154A5CEC"/>
    <w:rsid w:val="15661640"/>
    <w:rsid w:val="156F6239"/>
    <w:rsid w:val="157161DF"/>
    <w:rsid w:val="15814007"/>
    <w:rsid w:val="158677E0"/>
    <w:rsid w:val="1587319C"/>
    <w:rsid w:val="159B7A6A"/>
    <w:rsid w:val="159D4C69"/>
    <w:rsid w:val="15C90B86"/>
    <w:rsid w:val="15D1070B"/>
    <w:rsid w:val="15DD49BF"/>
    <w:rsid w:val="15E76910"/>
    <w:rsid w:val="15F61552"/>
    <w:rsid w:val="16087171"/>
    <w:rsid w:val="162B5638"/>
    <w:rsid w:val="163145AB"/>
    <w:rsid w:val="16340ADE"/>
    <w:rsid w:val="16375C06"/>
    <w:rsid w:val="165A05F6"/>
    <w:rsid w:val="16613944"/>
    <w:rsid w:val="167567E2"/>
    <w:rsid w:val="169E05FA"/>
    <w:rsid w:val="16A252CB"/>
    <w:rsid w:val="16AA0E63"/>
    <w:rsid w:val="16B915F8"/>
    <w:rsid w:val="16C03103"/>
    <w:rsid w:val="16C31B72"/>
    <w:rsid w:val="16C55BFE"/>
    <w:rsid w:val="16CD3993"/>
    <w:rsid w:val="16D021F1"/>
    <w:rsid w:val="16DB7B37"/>
    <w:rsid w:val="16F65AA1"/>
    <w:rsid w:val="16FC1253"/>
    <w:rsid w:val="170D268D"/>
    <w:rsid w:val="175B4502"/>
    <w:rsid w:val="176E7CBF"/>
    <w:rsid w:val="1772510E"/>
    <w:rsid w:val="177553AF"/>
    <w:rsid w:val="177F43FE"/>
    <w:rsid w:val="178D1B7A"/>
    <w:rsid w:val="17923610"/>
    <w:rsid w:val="179D53DF"/>
    <w:rsid w:val="17D10534"/>
    <w:rsid w:val="17E81089"/>
    <w:rsid w:val="17FF2445"/>
    <w:rsid w:val="18191D27"/>
    <w:rsid w:val="18197340"/>
    <w:rsid w:val="182D13B1"/>
    <w:rsid w:val="18495DF5"/>
    <w:rsid w:val="18583E7F"/>
    <w:rsid w:val="186E28BA"/>
    <w:rsid w:val="187554A3"/>
    <w:rsid w:val="187F1F1C"/>
    <w:rsid w:val="1880441D"/>
    <w:rsid w:val="18922F79"/>
    <w:rsid w:val="18A279BB"/>
    <w:rsid w:val="18AD5E19"/>
    <w:rsid w:val="18DB18E6"/>
    <w:rsid w:val="18F04A6E"/>
    <w:rsid w:val="190E5164"/>
    <w:rsid w:val="192D57AD"/>
    <w:rsid w:val="19393F59"/>
    <w:rsid w:val="193A00A4"/>
    <w:rsid w:val="193B24CA"/>
    <w:rsid w:val="193E1DB0"/>
    <w:rsid w:val="1948182E"/>
    <w:rsid w:val="194A3F60"/>
    <w:rsid w:val="19567D9A"/>
    <w:rsid w:val="195E446C"/>
    <w:rsid w:val="196465E9"/>
    <w:rsid w:val="196D5FCA"/>
    <w:rsid w:val="199661A9"/>
    <w:rsid w:val="19B16A52"/>
    <w:rsid w:val="19B5074B"/>
    <w:rsid w:val="19B648C2"/>
    <w:rsid w:val="19D271F5"/>
    <w:rsid w:val="1A0E4FF3"/>
    <w:rsid w:val="1A2C5174"/>
    <w:rsid w:val="1A410293"/>
    <w:rsid w:val="1A4F7882"/>
    <w:rsid w:val="1A5B61AE"/>
    <w:rsid w:val="1A8705E2"/>
    <w:rsid w:val="1AAB20E2"/>
    <w:rsid w:val="1AB61DC0"/>
    <w:rsid w:val="1ABA27B7"/>
    <w:rsid w:val="1AC216FB"/>
    <w:rsid w:val="1AD3552B"/>
    <w:rsid w:val="1AE332DE"/>
    <w:rsid w:val="1AE951B2"/>
    <w:rsid w:val="1AF0051A"/>
    <w:rsid w:val="1AF21724"/>
    <w:rsid w:val="1AF8592B"/>
    <w:rsid w:val="1B110C0A"/>
    <w:rsid w:val="1B133AA5"/>
    <w:rsid w:val="1B1844F1"/>
    <w:rsid w:val="1B203C44"/>
    <w:rsid w:val="1B2F4F5C"/>
    <w:rsid w:val="1B3C4AE0"/>
    <w:rsid w:val="1B4438B4"/>
    <w:rsid w:val="1B511671"/>
    <w:rsid w:val="1B6904F6"/>
    <w:rsid w:val="1B862D1B"/>
    <w:rsid w:val="1BD52BC8"/>
    <w:rsid w:val="1BEC2874"/>
    <w:rsid w:val="1BF65FEC"/>
    <w:rsid w:val="1BF97C64"/>
    <w:rsid w:val="1C0F4275"/>
    <w:rsid w:val="1C1239C0"/>
    <w:rsid w:val="1C193D72"/>
    <w:rsid w:val="1C69707E"/>
    <w:rsid w:val="1C7B3E9E"/>
    <w:rsid w:val="1C855CF5"/>
    <w:rsid w:val="1C871BB0"/>
    <w:rsid w:val="1C9F376B"/>
    <w:rsid w:val="1CD50FC2"/>
    <w:rsid w:val="1CD62401"/>
    <w:rsid w:val="1CEF6CF7"/>
    <w:rsid w:val="1CF84070"/>
    <w:rsid w:val="1CF859B6"/>
    <w:rsid w:val="1CFA228F"/>
    <w:rsid w:val="1D0641DF"/>
    <w:rsid w:val="1D236A9B"/>
    <w:rsid w:val="1D2C3E12"/>
    <w:rsid w:val="1D306928"/>
    <w:rsid w:val="1D480506"/>
    <w:rsid w:val="1D6A3572"/>
    <w:rsid w:val="1D723931"/>
    <w:rsid w:val="1D7975B5"/>
    <w:rsid w:val="1D8A3B28"/>
    <w:rsid w:val="1D8F618C"/>
    <w:rsid w:val="1D9E575E"/>
    <w:rsid w:val="1DA036E0"/>
    <w:rsid w:val="1DA2051B"/>
    <w:rsid w:val="1DAB48B6"/>
    <w:rsid w:val="1DC57259"/>
    <w:rsid w:val="1DC7340F"/>
    <w:rsid w:val="1DC972D0"/>
    <w:rsid w:val="1DD41696"/>
    <w:rsid w:val="1DD93085"/>
    <w:rsid w:val="1DDB7C39"/>
    <w:rsid w:val="1DE36A5B"/>
    <w:rsid w:val="1DF630AC"/>
    <w:rsid w:val="1E027697"/>
    <w:rsid w:val="1E071091"/>
    <w:rsid w:val="1E0A1582"/>
    <w:rsid w:val="1E0C42E4"/>
    <w:rsid w:val="1E0C7286"/>
    <w:rsid w:val="1E1C1EC7"/>
    <w:rsid w:val="1E37232F"/>
    <w:rsid w:val="1E3C7B3C"/>
    <w:rsid w:val="1E41174C"/>
    <w:rsid w:val="1E444D28"/>
    <w:rsid w:val="1E6974B9"/>
    <w:rsid w:val="1E761BB7"/>
    <w:rsid w:val="1EB564F4"/>
    <w:rsid w:val="1ED00C2E"/>
    <w:rsid w:val="1EE003E7"/>
    <w:rsid w:val="1EEF6700"/>
    <w:rsid w:val="1EF01357"/>
    <w:rsid w:val="1F047906"/>
    <w:rsid w:val="1F056AE9"/>
    <w:rsid w:val="1F1D35AF"/>
    <w:rsid w:val="1F256B46"/>
    <w:rsid w:val="1F867040"/>
    <w:rsid w:val="1F867CD3"/>
    <w:rsid w:val="1FA50382"/>
    <w:rsid w:val="1FBB4267"/>
    <w:rsid w:val="1FC21553"/>
    <w:rsid w:val="1FC95FDA"/>
    <w:rsid w:val="1FCB751C"/>
    <w:rsid w:val="1FEA2B69"/>
    <w:rsid w:val="1FF42EA4"/>
    <w:rsid w:val="1FF4332A"/>
    <w:rsid w:val="1FF50BE9"/>
    <w:rsid w:val="1FFD5296"/>
    <w:rsid w:val="202C199D"/>
    <w:rsid w:val="2062798A"/>
    <w:rsid w:val="20726BDD"/>
    <w:rsid w:val="20732BB9"/>
    <w:rsid w:val="207C4541"/>
    <w:rsid w:val="208078A9"/>
    <w:rsid w:val="20AF557D"/>
    <w:rsid w:val="20B42F68"/>
    <w:rsid w:val="20BB7719"/>
    <w:rsid w:val="20C1507B"/>
    <w:rsid w:val="20C44F1F"/>
    <w:rsid w:val="20C62E4A"/>
    <w:rsid w:val="20D168CD"/>
    <w:rsid w:val="20DB4ED2"/>
    <w:rsid w:val="20DF3E6E"/>
    <w:rsid w:val="20EB4C83"/>
    <w:rsid w:val="21324A00"/>
    <w:rsid w:val="214416D2"/>
    <w:rsid w:val="21637342"/>
    <w:rsid w:val="21710D11"/>
    <w:rsid w:val="21895222"/>
    <w:rsid w:val="21A143FE"/>
    <w:rsid w:val="21AE1E04"/>
    <w:rsid w:val="21B17488"/>
    <w:rsid w:val="21BF5671"/>
    <w:rsid w:val="21CC5B6C"/>
    <w:rsid w:val="21DD009C"/>
    <w:rsid w:val="21E00B40"/>
    <w:rsid w:val="21E03B37"/>
    <w:rsid w:val="21F013AF"/>
    <w:rsid w:val="21F8393E"/>
    <w:rsid w:val="220967D4"/>
    <w:rsid w:val="220C5CB4"/>
    <w:rsid w:val="222306C2"/>
    <w:rsid w:val="22546409"/>
    <w:rsid w:val="22593E09"/>
    <w:rsid w:val="22657796"/>
    <w:rsid w:val="22694C9E"/>
    <w:rsid w:val="228C0F23"/>
    <w:rsid w:val="229977D5"/>
    <w:rsid w:val="22A54501"/>
    <w:rsid w:val="22B52733"/>
    <w:rsid w:val="22C23319"/>
    <w:rsid w:val="22D43CA7"/>
    <w:rsid w:val="22DA7B76"/>
    <w:rsid w:val="22F420E5"/>
    <w:rsid w:val="22F607A0"/>
    <w:rsid w:val="23234EB1"/>
    <w:rsid w:val="232D0498"/>
    <w:rsid w:val="232F60AE"/>
    <w:rsid w:val="233652C2"/>
    <w:rsid w:val="23423F18"/>
    <w:rsid w:val="235F3DB3"/>
    <w:rsid w:val="236901A2"/>
    <w:rsid w:val="237E3DBB"/>
    <w:rsid w:val="237E5C61"/>
    <w:rsid w:val="23A02D6A"/>
    <w:rsid w:val="23A63F3F"/>
    <w:rsid w:val="23A76628"/>
    <w:rsid w:val="23B06F94"/>
    <w:rsid w:val="23C976B4"/>
    <w:rsid w:val="23D95941"/>
    <w:rsid w:val="23F84088"/>
    <w:rsid w:val="241C54E3"/>
    <w:rsid w:val="242718BB"/>
    <w:rsid w:val="24281425"/>
    <w:rsid w:val="243E4249"/>
    <w:rsid w:val="245A0AD1"/>
    <w:rsid w:val="24675972"/>
    <w:rsid w:val="24790B8B"/>
    <w:rsid w:val="247B4B11"/>
    <w:rsid w:val="248140B6"/>
    <w:rsid w:val="24863EA5"/>
    <w:rsid w:val="24866C1C"/>
    <w:rsid w:val="249B2C10"/>
    <w:rsid w:val="24A92DB6"/>
    <w:rsid w:val="24F42C90"/>
    <w:rsid w:val="24FA582E"/>
    <w:rsid w:val="250C0C3E"/>
    <w:rsid w:val="25125AA7"/>
    <w:rsid w:val="252E72B8"/>
    <w:rsid w:val="254565A2"/>
    <w:rsid w:val="25461DB9"/>
    <w:rsid w:val="25603EF4"/>
    <w:rsid w:val="25653636"/>
    <w:rsid w:val="25681191"/>
    <w:rsid w:val="25781861"/>
    <w:rsid w:val="257C4BC7"/>
    <w:rsid w:val="25923028"/>
    <w:rsid w:val="25975A15"/>
    <w:rsid w:val="25982503"/>
    <w:rsid w:val="259B032D"/>
    <w:rsid w:val="259F772E"/>
    <w:rsid w:val="25CC7DAE"/>
    <w:rsid w:val="25D769B3"/>
    <w:rsid w:val="25F1139A"/>
    <w:rsid w:val="25F8223E"/>
    <w:rsid w:val="261D1452"/>
    <w:rsid w:val="26272AFB"/>
    <w:rsid w:val="26355906"/>
    <w:rsid w:val="26365804"/>
    <w:rsid w:val="26462F11"/>
    <w:rsid w:val="264A6E65"/>
    <w:rsid w:val="26564E8F"/>
    <w:rsid w:val="265C202F"/>
    <w:rsid w:val="26C8778C"/>
    <w:rsid w:val="2718676C"/>
    <w:rsid w:val="271C3D77"/>
    <w:rsid w:val="27384602"/>
    <w:rsid w:val="27574C2D"/>
    <w:rsid w:val="276968FA"/>
    <w:rsid w:val="27734279"/>
    <w:rsid w:val="277E3F78"/>
    <w:rsid w:val="278A6B5F"/>
    <w:rsid w:val="27AB24FC"/>
    <w:rsid w:val="27B122D1"/>
    <w:rsid w:val="27BE0CA1"/>
    <w:rsid w:val="27C624EA"/>
    <w:rsid w:val="27D603AC"/>
    <w:rsid w:val="27E73FFD"/>
    <w:rsid w:val="27F063B8"/>
    <w:rsid w:val="2816188A"/>
    <w:rsid w:val="281A3E5B"/>
    <w:rsid w:val="281C515B"/>
    <w:rsid w:val="284A570B"/>
    <w:rsid w:val="28543CA0"/>
    <w:rsid w:val="286C3020"/>
    <w:rsid w:val="28832101"/>
    <w:rsid w:val="28844680"/>
    <w:rsid w:val="28852D4C"/>
    <w:rsid w:val="288D0873"/>
    <w:rsid w:val="289819F3"/>
    <w:rsid w:val="28AB3B84"/>
    <w:rsid w:val="28B33B9D"/>
    <w:rsid w:val="28BA7C9E"/>
    <w:rsid w:val="28BB4B37"/>
    <w:rsid w:val="28C7226F"/>
    <w:rsid w:val="28D15706"/>
    <w:rsid w:val="28F07CAD"/>
    <w:rsid w:val="28F94827"/>
    <w:rsid w:val="29035382"/>
    <w:rsid w:val="290A3F78"/>
    <w:rsid w:val="291F1D47"/>
    <w:rsid w:val="29204E9A"/>
    <w:rsid w:val="29430DB8"/>
    <w:rsid w:val="29453770"/>
    <w:rsid w:val="29593426"/>
    <w:rsid w:val="295D4310"/>
    <w:rsid w:val="295D4816"/>
    <w:rsid w:val="29805C66"/>
    <w:rsid w:val="298D7476"/>
    <w:rsid w:val="299309FF"/>
    <w:rsid w:val="29952D7C"/>
    <w:rsid w:val="29B558A4"/>
    <w:rsid w:val="29CE6DC3"/>
    <w:rsid w:val="29FB2162"/>
    <w:rsid w:val="2A094001"/>
    <w:rsid w:val="2A0B6CEA"/>
    <w:rsid w:val="2A1C380F"/>
    <w:rsid w:val="2A241003"/>
    <w:rsid w:val="2A2E2B8B"/>
    <w:rsid w:val="2A3E2774"/>
    <w:rsid w:val="2A66682F"/>
    <w:rsid w:val="2A77188E"/>
    <w:rsid w:val="2A8648A9"/>
    <w:rsid w:val="2A97135F"/>
    <w:rsid w:val="2AAE5383"/>
    <w:rsid w:val="2ACD7143"/>
    <w:rsid w:val="2AE86959"/>
    <w:rsid w:val="2AF035C6"/>
    <w:rsid w:val="2AF53CF6"/>
    <w:rsid w:val="2B0F194A"/>
    <w:rsid w:val="2B193929"/>
    <w:rsid w:val="2B231547"/>
    <w:rsid w:val="2B3D49E0"/>
    <w:rsid w:val="2B3F3A06"/>
    <w:rsid w:val="2B4716C8"/>
    <w:rsid w:val="2B54398A"/>
    <w:rsid w:val="2B5568A8"/>
    <w:rsid w:val="2B733E9D"/>
    <w:rsid w:val="2B735EA9"/>
    <w:rsid w:val="2B742192"/>
    <w:rsid w:val="2B810909"/>
    <w:rsid w:val="2B82286B"/>
    <w:rsid w:val="2B883651"/>
    <w:rsid w:val="2B9E3E4B"/>
    <w:rsid w:val="2BE45F1C"/>
    <w:rsid w:val="2BF57610"/>
    <w:rsid w:val="2C0446B5"/>
    <w:rsid w:val="2C0938E5"/>
    <w:rsid w:val="2C0D3000"/>
    <w:rsid w:val="2C160550"/>
    <w:rsid w:val="2C1F30EE"/>
    <w:rsid w:val="2C212B74"/>
    <w:rsid w:val="2C221798"/>
    <w:rsid w:val="2C273D28"/>
    <w:rsid w:val="2C607D41"/>
    <w:rsid w:val="2C62009C"/>
    <w:rsid w:val="2C63694E"/>
    <w:rsid w:val="2C6B36EA"/>
    <w:rsid w:val="2C6D5266"/>
    <w:rsid w:val="2C7C79BA"/>
    <w:rsid w:val="2C89687D"/>
    <w:rsid w:val="2CAC1648"/>
    <w:rsid w:val="2CBC6EAE"/>
    <w:rsid w:val="2CC15015"/>
    <w:rsid w:val="2CCD23AA"/>
    <w:rsid w:val="2CCE5085"/>
    <w:rsid w:val="2CF364AB"/>
    <w:rsid w:val="2CF917CE"/>
    <w:rsid w:val="2D0F08C9"/>
    <w:rsid w:val="2D0F6D75"/>
    <w:rsid w:val="2D2B56E9"/>
    <w:rsid w:val="2D484D7E"/>
    <w:rsid w:val="2D4B0A15"/>
    <w:rsid w:val="2D522677"/>
    <w:rsid w:val="2D584822"/>
    <w:rsid w:val="2D7B49D5"/>
    <w:rsid w:val="2D800CD1"/>
    <w:rsid w:val="2D8829D9"/>
    <w:rsid w:val="2D955D8F"/>
    <w:rsid w:val="2DA65E39"/>
    <w:rsid w:val="2DAB7921"/>
    <w:rsid w:val="2DBD3FF9"/>
    <w:rsid w:val="2DC05A13"/>
    <w:rsid w:val="2DC530A6"/>
    <w:rsid w:val="2DC76F01"/>
    <w:rsid w:val="2DCF71F1"/>
    <w:rsid w:val="2DE3175D"/>
    <w:rsid w:val="2DE9545A"/>
    <w:rsid w:val="2E0B426D"/>
    <w:rsid w:val="2E28123C"/>
    <w:rsid w:val="2E30635D"/>
    <w:rsid w:val="2E3B22E4"/>
    <w:rsid w:val="2E446012"/>
    <w:rsid w:val="2E5E6C8D"/>
    <w:rsid w:val="2E70372B"/>
    <w:rsid w:val="2E7E2B97"/>
    <w:rsid w:val="2E7E795F"/>
    <w:rsid w:val="2E932698"/>
    <w:rsid w:val="2E9513D1"/>
    <w:rsid w:val="2EA45E0A"/>
    <w:rsid w:val="2EF44FC0"/>
    <w:rsid w:val="2F000961"/>
    <w:rsid w:val="2F0268A5"/>
    <w:rsid w:val="2F123198"/>
    <w:rsid w:val="2F1267AC"/>
    <w:rsid w:val="2F2C25BB"/>
    <w:rsid w:val="2F411C18"/>
    <w:rsid w:val="2F6A6E76"/>
    <w:rsid w:val="2F775C73"/>
    <w:rsid w:val="2F787B9F"/>
    <w:rsid w:val="2F7B2B7C"/>
    <w:rsid w:val="2F7E1B8B"/>
    <w:rsid w:val="2F946775"/>
    <w:rsid w:val="2F9E716D"/>
    <w:rsid w:val="2FB547CA"/>
    <w:rsid w:val="2FB67FA0"/>
    <w:rsid w:val="2FCE2EF8"/>
    <w:rsid w:val="2FDD711B"/>
    <w:rsid w:val="2FEF7086"/>
    <w:rsid w:val="2FF85339"/>
    <w:rsid w:val="300068FE"/>
    <w:rsid w:val="302B2A41"/>
    <w:rsid w:val="303A2D63"/>
    <w:rsid w:val="30421031"/>
    <w:rsid w:val="30475179"/>
    <w:rsid w:val="30540DC3"/>
    <w:rsid w:val="307112D0"/>
    <w:rsid w:val="30737A5E"/>
    <w:rsid w:val="309A195B"/>
    <w:rsid w:val="309F1E8A"/>
    <w:rsid w:val="30C911A9"/>
    <w:rsid w:val="30C96230"/>
    <w:rsid w:val="30D0024C"/>
    <w:rsid w:val="30D1269C"/>
    <w:rsid w:val="30E92104"/>
    <w:rsid w:val="30EF21A2"/>
    <w:rsid w:val="30FB358B"/>
    <w:rsid w:val="31000212"/>
    <w:rsid w:val="311E4660"/>
    <w:rsid w:val="312E4B6E"/>
    <w:rsid w:val="31437E87"/>
    <w:rsid w:val="315B2B50"/>
    <w:rsid w:val="316D2CFA"/>
    <w:rsid w:val="316E38B0"/>
    <w:rsid w:val="318748BB"/>
    <w:rsid w:val="31876269"/>
    <w:rsid w:val="31883CAE"/>
    <w:rsid w:val="3195615B"/>
    <w:rsid w:val="31AA084F"/>
    <w:rsid w:val="31B3629F"/>
    <w:rsid w:val="31D3411C"/>
    <w:rsid w:val="31DB70A6"/>
    <w:rsid w:val="31ED3FC8"/>
    <w:rsid w:val="31FA42C1"/>
    <w:rsid w:val="32194A2E"/>
    <w:rsid w:val="322A6E1B"/>
    <w:rsid w:val="323E76BC"/>
    <w:rsid w:val="32841D69"/>
    <w:rsid w:val="32923DAF"/>
    <w:rsid w:val="32AC7FEB"/>
    <w:rsid w:val="32B82BF5"/>
    <w:rsid w:val="32BE4DE7"/>
    <w:rsid w:val="32C8640F"/>
    <w:rsid w:val="32EA1CBD"/>
    <w:rsid w:val="33115FDE"/>
    <w:rsid w:val="331D38F9"/>
    <w:rsid w:val="3320598D"/>
    <w:rsid w:val="332362D5"/>
    <w:rsid w:val="33404DBB"/>
    <w:rsid w:val="334866C1"/>
    <w:rsid w:val="334C25E4"/>
    <w:rsid w:val="335D7997"/>
    <w:rsid w:val="33A654E7"/>
    <w:rsid w:val="33C30B86"/>
    <w:rsid w:val="342416AE"/>
    <w:rsid w:val="3426018A"/>
    <w:rsid w:val="34304B79"/>
    <w:rsid w:val="34397874"/>
    <w:rsid w:val="346361A9"/>
    <w:rsid w:val="346A44AF"/>
    <w:rsid w:val="346A6037"/>
    <w:rsid w:val="34724EE2"/>
    <w:rsid w:val="347E2DE1"/>
    <w:rsid w:val="34947F60"/>
    <w:rsid w:val="34C127B8"/>
    <w:rsid w:val="35064E9C"/>
    <w:rsid w:val="350F496E"/>
    <w:rsid w:val="35190968"/>
    <w:rsid w:val="351F57C1"/>
    <w:rsid w:val="356A5ABB"/>
    <w:rsid w:val="357F2D74"/>
    <w:rsid w:val="35846C85"/>
    <w:rsid w:val="35854793"/>
    <w:rsid w:val="359723E4"/>
    <w:rsid w:val="35C729DC"/>
    <w:rsid w:val="35F77D1C"/>
    <w:rsid w:val="35F81011"/>
    <w:rsid w:val="36161AC4"/>
    <w:rsid w:val="362126A1"/>
    <w:rsid w:val="3624072A"/>
    <w:rsid w:val="364F1321"/>
    <w:rsid w:val="36593AB3"/>
    <w:rsid w:val="368D395B"/>
    <w:rsid w:val="3693187D"/>
    <w:rsid w:val="36AB2F91"/>
    <w:rsid w:val="36B87AC4"/>
    <w:rsid w:val="36DB58CC"/>
    <w:rsid w:val="36E344E5"/>
    <w:rsid w:val="36EA1A47"/>
    <w:rsid w:val="37013B3F"/>
    <w:rsid w:val="37114108"/>
    <w:rsid w:val="37331580"/>
    <w:rsid w:val="3759056E"/>
    <w:rsid w:val="37614B9E"/>
    <w:rsid w:val="376A5CF7"/>
    <w:rsid w:val="37934F54"/>
    <w:rsid w:val="37936572"/>
    <w:rsid w:val="37A02A27"/>
    <w:rsid w:val="37C06865"/>
    <w:rsid w:val="37D21275"/>
    <w:rsid w:val="37DC369C"/>
    <w:rsid w:val="37F71238"/>
    <w:rsid w:val="37FF1E8A"/>
    <w:rsid w:val="380F2A66"/>
    <w:rsid w:val="38463672"/>
    <w:rsid w:val="38493E76"/>
    <w:rsid w:val="38601015"/>
    <w:rsid w:val="38715855"/>
    <w:rsid w:val="3872728F"/>
    <w:rsid w:val="388136A4"/>
    <w:rsid w:val="3895336F"/>
    <w:rsid w:val="38A84D29"/>
    <w:rsid w:val="38AF029F"/>
    <w:rsid w:val="38B45E19"/>
    <w:rsid w:val="390628F0"/>
    <w:rsid w:val="392936F5"/>
    <w:rsid w:val="393167D4"/>
    <w:rsid w:val="393371B2"/>
    <w:rsid w:val="39557BD4"/>
    <w:rsid w:val="396C6068"/>
    <w:rsid w:val="39773959"/>
    <w:rsid w:val="397F7854"/>
    <w:rsid w:val="39813A4F"/>
    <w:rsid w:val="39814890"/>
    <w:rsid w:val="39815867"/>
    <w:rsid w:val="3993518B"/>
    <w:rsid w:val="399F4392"/>
    <w:rsid w:val="39A52974"/>
    <w:rsid w:val="39AB5026"/>
    <w:rsid w:val="39B16AB3"/>
    <w:rsid w:val="39BF0F8B"/>
    <w:rsid w:val="39C20516"/>
    <w:rsid w:val="39E108FD"/>
    <w:rsid w:val="39EC2C71"/>
    <w:rsid w:val="39FF2A1E"/>
    <w:rsid w:val="3A000352"/>
    <w:rsid w:val="3A1F30FA"/>
    <w:rsid w:val="3A366F45"/>
    <w:rsid w:val="3A3718C1"/>
    <w:rsid w:val="3A622666"/>
    <w:rsid w:val="3A78256C"/>
    <w:rsid w:val="3A841B03"/>
    <w:rsid w:val="3A8B1BF2"/>
    <w:rsid w:val="3A8E2D0B"/>
    <w:rsid w:val="3AA71B5A"/>
    <w:rsid w:val="3AB30ABE"/>
    <w:rsid w:val="3AE74267"/>
    <w:rsid w:val="3AFF2C0B"/>
    <w:rsid w:val="3B210581"/>
    <w:rsid w:val="3B230E29"/>
    <w:rsid w:val="3B407F0C"/>
    <w:rsid w:val="3B5816FC"/>
    <w:rsid w:val="3B8A1E0A"/>
    <w:rsid w:val="3B941AA2"/>
    <w:rsid w:val="3B970571"/>
    <w:rsid w:val="3B9B7AAB"/>
    <w:rsid w:val="3B9C1040"/>
    <w:rsid w:val="3B9E63E2"/>
    <w:rsid w:val="3BAA4536"/>
    <w:rsid w:val="3BBA38AC"/>
    <w:rsid w:val="3BBD230D"/>
    <w:rsid w:val="3BC82235"/>
    <w:rsid w:val="3BD304EF"/>
    <w:rsid w:val="3BEB5E74"/>
    <w:rsid w:val="3BF051AB"/>
    <w:rsid w:val="3C23167F"/>
    <w:rsid w:val="3C2D1EC4"/>
    <w:rsid w:val="3C2D30D4"/>
    <w:rsid w:val="3C3E4E7D"/>
    <w:rsid w:val="3C400C92"/>
    <w:rsid w:val="3C727CAD"/>
    <w:rsid w:val="3C79336E"/>
    <w:rsid w:val="3CA465B0"/>
    <w:rsid w:val="3CA72F87"/>
    <w:rsid w:val="3CBC1D29"/>
    <w:rsid w:val="3CC62BAB"/>
    <w:rsid w:val="3CF36DC4"/>
    <w:rsid w:val="3D2D2FD7"/>
    <w:rsid w:val="3D365208"/>
    <w:rsid w:val="3D4B3BB3"/>
    <w:rsid w:val="3D4E141C"/>
    <w:rsid w:val="3D5C7A81"/>
    <w:rsid w:val="3D614C92"/>
    <w:rsid w:val="3D6B4DD7"/>
    <w:rsid w:val="3D79469E"/>
    <w:rsid w:val="3D8318CA"/>
    <w:rsid w:val="3D891695"/>
    <w:rsid w:val="3DA00D72"/>
    <w:rsid w:val="3DCE3860"/>
    <w:rsid w:val="3DDA129D"/>
    <w:rsid w:val="3DDF2E9F"/>
    <w:rsid w:val="3DF3483F"/>
    <w:rsid w:val="3E0716F8"/>
    <w:rsid w:val="3E337D9A"/>
    <w:rsid w:val="3E38114B"/>
    <w:rsid w:val="3E5015D0"/>
    <w:rsid w:val="3E537107"/>
    <w:rsid w:val="3E6A5F55"/>
    <w:rsid w:val="3E764702"/>
    <w:rsid w:val="3E78201C"/>
    <w:rsid w:val="3E9B566C"/>
    <w:rsid w:val="3ED136AC"/>
    <w:rsid w:val="3EE1206E"/>
    <w:rsid w:val="3EF223B1"/>
    <w:rsid w:val="3F1C656D"/>
    <w:rsid w:val="3F266307"/>
    <w:rsid w:val="3F2C2C32"/>
    <w:rsid w:val="3F324F63"/>
    <w:rsid w:val="3F4E2B8D"/>
    <w:rsid w:val="3F717827"/>
    <w:rsid w:val="3F7720BA"/>
    <w:rsid w:val="3F797531"/>
    <w:rsid w:val="3F8604EC"/>
    <w:rsid w:val="3F891D1E"/>
    <w:rsid w:val="3FA71E56"/>
    <w:rsid w:val="3FC97648"/>
    <w:rsid w:val="3FD554F4"/>
    <w:rsid w:val="3FD95C48"/>
    <w:rsid w:val="3FEA21A2"/>
    <w:rsid w:val="3FEB4B8F"/>
    <w:rsid w:val="402767FF"/>
    <w:rsid w:val="40346805"/>
    <w:rsid w:val="405020DB"/>
    <w:rsid w:val="406A7817"/>
    <w:rsid w:val="408376E5"/>
    <w:rsid w:val="40BA275F"/>
    <w:rsid w:val="40CB2C79"/>
    <w:rsid w:val="40F7412B"/>
    <w:rsid w:val="41216114"/>
    <w:rsid w:val="41290FCF"/>
    <w:rsid w:val="41462026"/>
    <w:rsid w:val="41462330"/>
    <w:rsid w:val="414B2206"/>
    <w:rsid w:val="41554CC4"/>
    <w:rsid w:val="415B5472"/>
    <w:rsid w:val="416E40D9"/>
    <w:rsid w:val="4173324C"/>
    <w:rsid w:val="417813FC"/>
    <w:rsid w:val="418A4064"/>
    <w:rsid w:val="418E4778"/>
    <w:rsid w:val="41930E2C"/>
    <w:rsid w:val="419B7433"/>
    <w:rsid w:val="41BA64FE"/>
    <w:rsid w:val="41D27513"/>
    <w:rsid w:val="420E26AF"/>
    <w:rsid w:val="42131A38"/>
    <w:rsid w:val="42175733"/>
    <w:rsid w:val="422259C4"/>
    <w:rsid w:val="42327833"/>
    <w:rsid w:val="423F409E"/>
    <w:rsid w:val="424D2966"/>
    <w:rsid w:val="42516CA7"/>
    <w:rsid w:val="427D67CE"/>
    <w:rsid w:val="429E5CC6"/>
    <w:rsid w:val="42A73E0E"/>
    <w:rsid w:val="42D0288D"/>
    <w:rsid w:val="42EF47F0"/>
    <w:rsid w:val="42F62A79"/>
    <w:rsid w:val="43384BD1"/>
    <w:rsid w:val="433C4C1C"/>
    <w:rsid w:val="4347065F"/>
    <w:rsid w:val="434871FA"/>
    <w:rsid w:val="434B5148"/>
    <w:rsid w:val="435748F7"/>
    <w:rsid w:val="436F4D25"/>
    <w:rsid w:val="43832834"/>
    <w:rsid w:val="43A7641C"/>
    <w:rsid w:val="43CF182E"/>
    <w:rsid w:val="43D45B32"/>
    <w:rsid w:val="43D91345"/>
    <w:rsid w:val="43DE430C"/>
    <w:rsid w:val="442849A0"/>
    <w:rsid w:val="4435211A"/>
    <w:rsid w:val="443E3990"/>
    <w:rsid w:val="44544875"/>
    <w:rsid w:val="44584322"/>
    <w:rsid w:val="445E3996"/>
    <w:rsid w:val="446F0395"/>
    <w:rsid w:val="448A1023"/>
    <w:rsid w:val="449278C5"/>
    <w:rsid w:val="44BA4918"/>
    <w:rsid w:val="44D96FA2"/>
    <w:rsid w:val="44E47834"/>
    <w:rsid w:val="44F1474D"/>
    <w:rsid w:val="4511063A"/>
    <w:rsid w:val="4523565F"/>
    <w:rsid w:val="452E581F"/>
    <w:rsid w:val="455D4381"/>
    <w:rsid w:val="45685A25"/>
    <w:rsid w:val="457809AF"/>
    <w:rsid w:val="45873015"/>
    <w:rsid w:val="45875446"/>
    <w:rsid w:val="459F51AE"/>
    <w:rsid w:val="45A54FFE"/>
    <w:rsid w:val="45BC2C37"/>
    <w:rsid w:val="45CE36CD"/>
    <w:rsid w:val="45D57088"/>
    <w:rsid w:val="45E75441"/>
    <w:rsid w:val="4615281E"/>
    <w:rsid w:val="463064A4"/>
    <w:rsid w:val="46540702"/>
    <w:rsid w:val="46691437"/>
    <w:rsid w:val="46912D6D"/>
    <w:rsid w:val="46A64BFC"/>
    <w:rsid w:val="46BD57E1"/>
    <w:rsid w:val="46C96420"/>
    <w:rsid w:val="47111B75"/>
    <w:rsid w:val="47362EAC"/>
    <w:rsid w:val="473C65EB"/>
    <w:rsid w:val="47965FF9"/>
    <w:rsid w:val="47A1415D"/>
    <w:rsid w:val="47AB0C7E"/>
    <w:rsid w:val="47B2632E"/>
    <w:rsid w:val="47CE2313"/>
    <w:rsid w:val="47E56185"/>
    <w:rsid w:val="47F07D81"/>
    <w:rsid w:val="47F218D6"/>
    <w:rsid w:val="48020662"/>
    <w:rsid w:val="48067293"/>
    <w:rsid w:val="4843470A"/>
    <w:rsid w:val="4886221D"/>
    <w:rsid w:val="48B75231"/>
    <w:rsid w:val="48CA7239"/>
    <w:rsid w:val="48E17C8C"/>
    <w:rsid w:val="48F32767"/>
    <w:rsid w:val="491E070F"/>
    <w:rsid w:val="492E548A"/>
    <w:rsid w:val="4932729F"/>
    <w:rsid w:val="493378E5"/>
    <w:rsid w:val="49471C8C"/>
    <w:rsid w:val="4950267F"/>
    <w:rsid w:val="495B2E6F"/>
    <w:rsid w:val="495F21E0"/>
    <w:rsid w:val="497E2527"/>
    <w:rsid w:val="49C9326F"/>
    <w:rsid w:val="49EB30AE"/>
    <w:rsid w:val="49F37941"/>
    <w:rsid w:val="4A266667"/>
    <w:rsid w:val="4A44454F"/>
    <w:rsid w:val="4A5F4996"/>
    <w:rsid w:val="4A6B7280"/>
    <w:rsid w:val="4AD96C60"/>
    <w:rsid w:val="4AEC7333"/>
    <w:rsid w:val="4AF926A2"/>
    <w:rsid w:val="4B005B36"/>
    <w:rsid w:val="4B18449A"/>
    <w:rsid w:val="4B275747"/>
    <w:rsid w:val="4B2955FA"/>
    <w:rsid w:val="4B500B66"/>
    <w:rsid w:val="4B5A6978"/>
    <w:rsid w:val="4B6A050A"/>
    <w:rsid w:val="4B7A2FD6"/>
    <w:rsid w:val="4B7D7C65"/>
    <w:rsid w:val="4BAA77A9"/>
    <w:rsid w:val="4BAE4BE4"/>
    <w:rsid w:val="4BCF7CF5"/>
    <w:rsid w:val="4BDE4A38"/>
    <w:rsid w:val="4BE278C3"/>
    <w:rsid w:val="4BEC7C7B"/>
    <w:rsid w:val="4BFB34A9"/>
    <w:rsid w:val="4C07347F"/>
    <w:rsid w:val="4C074E2A"/>
    <w:rsid w:val="4C0E1989"/>
    <w:rsid w:val="4C1117B6"/>
    <w:rsid w:val="4C170A3F"/>
    <w:rsid w:val="4C195EAA"/>
    <w:rsid w:val="4C21008D"/>
    <w:rsid w:val="4C4437F3"/>
    <w:rsid w:val="4C6010C0"/>
    <w:rsid w:val="4C617A92"/>
    <w:rsid w:val="4C687E8A"/>
    <w:rsid w:val="4C881434"/>
    <w:rsid w:val="4C8B7CC0"/>
    <w:rsid w:val="4C91077F"/>
    <w:rsid w:val="4C9E162C"/>
    <w:rsid w:val="4CA11A32"/>
    <w:rsid w:val="4CC95A20"/>
    <w:rsid w:val="4CCB213F"/>
    <w:rsid w:val="4CD367F6"/>
    <w:rsid w:val="4CF22E72"/>
    <w:rsid w:val="4CFB137F"/>
    <w:rsid w:val="4D2141B4"/>
    <w:rsid w:val="4D3F5E24"/>
    <w:rsid w:val="4D674EFF"/>
    <w:rsid w:val="4D753CF0"/>
    <w:rsid w:val="4DCB3D65"/>
    <w:rsid w:val="4DCC1D2F"/>
    <w:rsid w:val="4DE80D63"/>
    <w:rsid w:val="4DEF2A8B"/>
    <w:rsid w:val="4DF1135B"/>
    <w:rsid w:val="4E19462E"/>
    <w:rsid w:val="4E256E11"/>
    <w:rsid w:val="4E285BF0"/>
    <w:rsid w:val="4E31075B"/>
    <w:rsid w:val="4E3B4CF8"/>
    <w:rsid w:val="4E483F4E"/>
    <w:rsid w:val="4E5704D4"/>
    <w:rsid w:val="4E734156"/>
    <w:rsid w:val="4E7448F3"/>
    <w:rsid w:val="4E772E6A"/>
    <w:rsid w:val="4EA87ADC"/>
    <w:rsid w:val="4EB87E2C"/>
    <w:rsid w:val="4EC23A34"/>
    <w:rsid w:val="4ED01922"/>
    <w:rsid w:val="4EE100ED"/>
    <w:rsid w:val="4EF659C1"/>
    <w:rsid w:val="4EFB15D0"/>
    <w:rsid w:val="4F302206"/>
    <w:rsid w:val="4F3B68CF"/>
    <w:rsid w:val="4F4F085C"/>
    <w:rsid w:val="4F6B5E91"/>
    <w:rsid w:val="4F6F2AE4"/>
    <w:rsid w:val="4F73104E"/>
    <w:rsid w:val="4F9958E0"/>
    <w:rsid w:val="4F9D4EE0"/>
    <w:rsid w:val="4FA56E3F"/>
    <w:rsid w:val="4FA728E1"/>
    <w:rsid w:val="4FB12AF5"/>
    <w:rsid w:val="4FCF613A"/>
    <w:rsid w:val="4FD40438"/>
    <w:rsid w:val="4FEE7CB2"/>
    <w:rsid w:val="50015CFF"/>
    <w:rsid w:val="500C7C88"/>
    <w:rsid w:val="5011418A"/>
    <w:rsid w:val="50317DA2"/>
    <w:rsid w:val="5046116C"/>
    <w:rsid w:val="504E2A40"/>
    <w:rsid w:val="504E4B23"/>
    <w:rsid w:val="50594CE8"/>
    <w:rsid w:val="505D2D10"/>
    <w:rsid w:val="506059D0"/>
    <w:rsid w:val="507F461C"/>
    <w:rsid w:val="50927A85"/>
    <w:rsid w:val="50971605"/>
    <w:rsid w:val="50A11941"/>
    <w:rsid w:val="50A13710"/>
    <w:rsid w:val="50A4123F"/>
    <w:rsid w:val="50A77A9F"/>
    <w:rsid w:val="50CA2762"/>
    <w:rsid w:val="50DD6102"/>
    <w:rsid w:val="50F75AB7"/>
    <w:rsid w:val="50FA3545"/>
    <w:rsid w:val="511738AF"/>
    <w:rsid w:val="513A73AA"/>
    <w:rsid w:val="515F3771"/>
    <w:rsid w:val="51643B1F"/>
    <w:rsid w:val="5196189F"/>
    <w:rsid w:val="51A91174"/>
    <w:rsid w:val="51B26069"/>
    <w:rsid w:val="51B72DF9"/>
    <w:rsid w:val="51C12C50"/>
    <w:rsid w:val="51C323E1"/>
    <w:rsid w:val="51D26CCE"/>
    <w:rsid w:val="51DA22B5"/>
    <w:rsid w:val="51E63062"/>
    <w:rsid w:val="51E66BD1"/>
    <w:rsid w:val="51EE0AEB"/>
    <w:rsid w:val="51EF198E"/>
    <w:rsid w:val="51F530D7"/>
    <w:rsid w:val="52127A2A"/>
    <w:rsid w:val="52154907"/>
    <w:rsid w:val="52262F32"/>
    <w:rsid w:val="525B5D91"/>
    <w:rsid w:val="527D5CE2"/>
    <w:rsid w:val="52827A3C"/>
    <w:rsid w:val="528768CC"/>
    <w:rsid w:val="52891897"/>
    <w:rsid w:val="52A56B57"/>
    <w:rsid w:val="52CD7464"/>
    <w:rsid w:val="52E5518D"/>
    <w:rsid w:val="52F856E0"/>
    <w:rsid w:val="52FE07DF"/>
    <w:rsid w:val="5311262A"/>
    <w:rsid w:val="53151473"/>
    <w:rsid w:val="53197240"/>
    <w:rsid w:val="531B7D7E"/>
    <w:rsid w:val="533C545F"/>
    <w:rsid w:val="534F150F"/>
    <w:rsid w:val="53584293"/>
    <w:rsid w:val="537842B8"/>
    <w:rsid w:val="53C10CFC"/>
    <w:rsid w:val="53C542BC"/>
    <w:rsid w:val="53CD43EB"/>
    <w:rsid w:val="53D44A00"/>
    <w:rsid w:val="53DB4779"/>
    <w:rsid w:val="53E703F7"/>
    <w:rsid w:val="5422309A"/>
    <w:rsid w:val="542C629B"/>
    <w:rsid w:val="542E2988"/>
    <w:rsid w:val="543B21F3"/>
    <w:rsid w:val="543B659A"/>
    <w:rsid w:val="54597EED"/>
    <w:rsid w:val="546F43DF"/>
    <w:rsid w:val="54716564"/>
    <w:rsid w:val="54865168"/>
    <w:rsid w:val="54874B04"/>
    <w:rsid w:val="54893054"/>
    <w:rsid w:val="5494323D"/>
    <w:rsid w:val="54963FC7"/>
    <w:rsid w:val="54A4248A"/>
    <w:rsid w:val="54E64CB4"/>
    <w:rsid w:val="5519711C"/>
    <w:rsid w:val="551C4578"/>
    <w:rsid w:val="55212C44"/>
    <w:rsid w:val="55247C15"/>
    <w:rsid w:val="553F6647"/>
    <w:rsid w:val="55446BB9"/>
    <w:rsid w:val="55456897"/>
    <w:rsid w:val="55586AFC"/>
    <w:rsid w:val="55651CA8"/>
    <w:rsid w:val="55A62A55"/>
    <w:rsid w:val="55B02C62"/>
    <w:rsid w:val="55B91D87"/>
    <w:rsid w:val="55BB7DC8"/>
    <w:rsid w:val="55BD10D6"/>
    <w:rsid w:val="55C30D70"/>
    <w:rsid w:val="55D45ED6"/>
    <w:rsid w:val="55E43068"/>
    <w:rsid w:val="55E718EE"/>
    <w:rsid w:val="55E80B44"/>
    <w:rsid w:val="55E9519A"/>
    <w:rsid w:val="56A81B38"/>
    <w:rsid w:val="56BA5450"/>
    <w:rsid w:val="56C418A8"/>
    <w:rsid w:val="56F0779A"/>
    <w:rsid w:val="56F239D2"/>
    <w:rsid w:val="56F8640C"/>
    <w:rsid w:val="57081386"/>
    <w:rsid w:val="57161AD7"/>
    <w:rsid w:val="57202B61"/>
    <w:rsid w:val="575348D4"/>
    <w:rsid w:val="576B57B1"/>
    <w:rsid w:val="57753854"/>
    <w:rsid w:val="579A6B8A"/>
    <w:rsid w:val="57AB2882"/>
    <w:rsid w:val="57AB30D8"/>
    <w:rsid w:val="57BB6CBE"/>
    <w:rsid w:val="57D03D29"/>
    <w:rsid w:val="57E95C67"/>
    <w:rsid w:val="57F35109"/>
    <w:rsid w:val="583E3FD6"/>
    <w:rsid w:val="5861276A"/>
    <w:rsid w:val="586676CD"/>
    <w:rsid w:val="587D5DF8"/>
    <w:rsid w:val="587E42F9"/>
    <w:rsid w:val="589F008D"/>
    <w:rsid w:val="58D53496"/>
    <w:rsid w:val="58F12FD6"/>
    <w:rsid w:val="58F21A28"/>
    <w:rsid w:val="59180435"/>
    <w:rsid w:val="591808BD"/>
    <w:rsid w:val="59291D09"/>
    <w:rsid w:val="59AD5FA4"/>
    <w:rsid w:val="59C67B6F"/>
    <w:rsid w:val="59CB06A7"/>
    <w:rsid w:val="59D40917"/>
    <w:rsid w:val="59EC0E65"/>
    <w:rsid w:val="59EE0975"/>
    <w:rsid w:val="59F83438"/>
    <w:rsid w:val="59FC53CA"/>
    <w:rsid w:val="5A0B6C4C"/>
    <w:rsid w:val="5A160CE9"/>
    <w:rsid w:val="5A1F30B6"/>
    <w:rsid w:val="5A39060B"/>
    <w:rsid w:val="5A3D17A0"/>
    <w:rsid w:val="5A7A0934"/>
    <w:rsid w:val="5A7D4C93"/>
    <w:rsid w:val="5A7E58CF"/>
    <w:rsid w:val="5A813E7E"/>
    <w:rsid w:val="5A8A1573"/>
    <w:rsid w:val="5A943A7C"/>
    <w:rsid w:val="5A9B085E"/>
    <w:rsid w:val="5AA2799D"/>
    <w:rsid w:val="5AA30300"/>
    <w:rsid w:val="5AB97E8A"/>
    <w:rsid w:val="5AC06B99"/>
    <w:rsid w:val="5ADC19A1"/>
    <w:rsid w:val="5ADF3251"/>
    <w:rsid w:val="5AEA08DC"/>
    <w:rsid w:val="5AEF5431"/>
    <w:rsid w:val="5AF15957"/>
    <w:rsid w:val="5B0C78BE"/>
    <w:rsid w:val="5B140AFF"/>
    <w:rsid w:val="5B15011B"/>
    <w:rsid w:val="5B1B1DFB"/>
    <w:rsid w:val="5B1F6C4F"/>
    <w:rsid w:val="5B3A564E"/>
    <w:rsid w:val="5B4C303A"/>
    <w:rsid w:val="5B50546E"/>
    <w:rsid w:val="5B891682"/>
    <w:rsid w:val="5B967670"/>
    <w:rsid w:val="5B9E1718"/>
    <w:rsid w:val="5BA55A8E"/>
    <w:rsid w:val="5BBF7038"/>
    <w:rsid w:val="5BD70AC5"/>
    <w:rsid w:val="5C2E484F"/>
    <w:rsid w:val="5C2E5D52"/>
    <w:rsid w:val="5C382E0A"/>
    <w:rsid w:val="5C3F1D9C"/>
    <w:rsid w:val="5C3F2142"/>
    <w:rsid w:val="5C400C6D"/>
    <w:rsid w:val="5C4135F4"/>
    <w:rsid w:val="5C4F683E"/>
    <w:rsid w:val="5C533945"/>
    <w:rsid w:val="5C6716DA"/>
    <w:rsid w:val="5CB24B39"/>
    <w:rsid w:val="5CB77CE0"/>
    <w:rsid w:val="5CBE0FDD"/>
    <w:rsid w:val="5CD727AD"/>
    <w:rsid w:val="5D020BC6"/>
    <w:rsid w:val="5D1F657B"/>
    <w:rsid w:val="5D2D3CAA"/>
    <w:rsid w:val="5D3576D6"/>
    <w:rsid w:val="5D540546"/>
    <w:rsid w:val="5D5705EF"/>
    <w:rsid w:val="5D5A3FD5"/>
    <w:rsid w:val="5D866789"/>
    <w:rsid w:val="5D89639A"/>
    <w:rsid w:val="5D98100D"/>
    <w:rsid w:val="5D9E6931"/>
    <w:rsid w:val="5DD53D14"/>
    <w:rsid w:val="5DF71A0D"/>
    <w:rsid w:val="5DFB452D"/>
    <w:rsid w:val="5E112C29"/>
    <w:rsid w:val="5E3F49A2"/>
    <w:rsid w:val="5E4A5D46"/>
    <w:rsid w:val="5E5939DB"/>
    <w:rsid w:val="5E801E73"/>
    <w:rsid w:val="5EA05370"/>
    <w:rsid w:val="5EA12B9A"/>
    <w:rsid w:val="5ED66B49"/>
    <w:rsid w:val="5ED90442"/>
    <w:rsid w:val="5EE07180"/>
    <w:rsid w:val="5EF2004E"/>
    <w:rsid w:val="5F1D55C2"/>
    <w:rsid w:val="5F3F1C77"/>
    <w:rsid w:val="5F4773EF"/>
    <w:rsid w:val="5F4C6F07"/>
    <w:rsid w:val="5F7268F4"/>
    <w:rsid w:val="5F796AF2"/>
    <w:rsid w:val="5F9D5D33"/>
    <w:rsid w:val="5FA02D72"/>
    <w:rsid w:val="5FA34172"/>
    <w:rsid w:val="5FB12AC4"/>
    <w:rsid w:val="5FC13D40"/>
    <w:rsid w:val="5FC2045A"/>
    <w:rsid w:val="5FCC17BF"/>
    <w:rsid w:val="5FDD2891"/>
    <w:rsid w:val="5FE51352"/>
    <w:rsid w:val="600B6DAE"/>
    <w:rsid w:val="600D41BD"/>
    <w:rsid w:val="60176EB4"/>
    <w:rsid w:val="601C1BFF"/>
    <w:rsid w:val="60254FF2"/>
    <w:rsid w:val="6026323E"/>
    <w:rsid w:val="60542192"/>
    <w:rsid w:val="605B7151"/>
    <w:rsid w:val="60826FB1"/>
    <w:rsid w:val="60884650"/>
    <w:rsid w:val="60A1054B"/>
    <w:rsid w:val="60C85C34"/>
    <w:rsid w:val="60E66862"/>
    <w:rsid w:val="60E72F4A"/>
    <w:rsid w:val="60F605F7"/>
    <w:rsid w:val="60F84D1C"/>
    <w:rsid w:val="610379A4"/>
    <w:rsid w:val="610E3D12"/>
    <w:rsid w:val="611B0C9C"/>
    <w:rsid w:val="61216B11"/>
    <w:rsid w:val="613B7A6B"/>
    <w:rsid w:val="614A619E"/>
    <w:rsid w:val="616A5659"/>
    <w:rsid w:val="6171207D"/>
    <w:rsid w:val="617577DF"/>
    <w:rsid w:val="619A44A9"/>
    <w:rsid w:val="619B173E"/>
    <w:rsid w:val="61A33D4C"/>
    <w:rsid w:val="61C46E9E"/>
    <w:rsid w:val="61C47FC1"/>
    <w:rsid w:val="61C5504D"/>
    <w:rsid w:val="61CF4321"/>
    <w:rsid w:val="61D875E0"/>
    <w:rsid w:val="61DF0B0D"/>
    <w:rsid w:val="62336A37"/>
    <w:rsid w:val="6238429A"/>
    <w:rsid w:val="623C5220"/>
    <w:rsid w:val="62447EDD"/>
    <w:rsid w:val="627200E0"/>
    <w:rsid w:val="62891161"/>
    <w:rsid w:val="62897C86"/>
    <w:rsid w:val="628B78A7"/>
    <w:rsid w:val="628C4009"/>
    <w:rsid w:val="629B67B1"/>
    <w:rsid w:val="62A9771D"/>
    <w:rsid w:val="62B27204"/>
    <w:rsid w:val="62CB44DE"/>
    <w:rsid w:val="62CD7C8A"/>
    <w:rsid w:val="62F568AF"/>
    <w:rsid w:val="62FB4D11"/>
    <w:rsid w:val="630731F3"/>
    <w:rsid w:val="6339568A"/>
    <w:rsid w:val="63455BE3"/>
    <w:rsid w:val="634A432B"/>
    <w:rsid w:val="63567E18"/>
    <w:rsid w:val="635F30B1"/>
    <w:rsid w:val="636A6827"/>
    <w:rsid w:val="636C6083"/>
    <w:rsid w:val="63744C77"/>
    <w:rsid w:val="637B2E52"/>
    <w:rsid w:val="638C083D"/>
    <w:rsid w:val="63E10BE3"/>
    <w:rsid w:val="63EC1F57"/>
    <w:rsid w:val="63EE6CE9"/>
    <w:rsid w:val="63FD5DAD"/>
    <w:rsid w:val="64021928"/>
    <w:rsid w:val="64057CAA"/>
    <w:rsid w:val="640949D8"/>
    <w:rsid w:val="64141954"/>
    <w:rsid w:val="64372E9D"/>
    <w:rsid w:val="643C6325"/>
    <w:rsid w:val="645168A5"/>
    <w:rsid w:val="646F2A03"/>
    <w:rsid w:val="648067AF"/>
    <w:rsid w:val="64864E2A"/>
    <w:rsid w:val="64896706"/>
    <w:rsid w:val="648F5F88"/>
    <w:rsid w:val="64910799"/>
    <w:rsid w:val="649A6010"/>
    <w:rsid w:val="649C18BC"/>
    <w:rsid w:val="64A26EEA"/>
    <w:rsid w:val="64EF43CE"/>
    <w:rsid w:val="64F741C4"/>
    <w:rsid w:val="651B51D0"/>
    <w:rsid w:val="651C72B7"/>
    <w:rsid w:val="65201C96"/>
    <w:rsid w:val="65266750"/>
    <w:rsid w:val="652E7BEB"/>
    <w:rsid w:val="653F2CAD"/>
    <w:rsid w:val="65551DE6"/>
    <w:rsid w:val="65693895"/>
    <w:rsid w:val="65730FD3"/>
    <w:rsid w:val="65B41C98"/>
    <w:rsid w:val="65E41FC9"/>
    <w:rsid w:val="65E97972"/>
    <w:rsid w:val="65FD5D03"/>
    <w:rsid w:val="660359CE"/>
    <w:rsid w:val="66041F1E"/>
    <w:rsid w:val="660D39EE"/>
    <w:rsid w:val="66122940"/>
    <w:rsid w:val="661653A0"/>
    <w:rsid w:val="6619138B"/>
    <w:rsid w:val="66191971"/>
    <w:rsid w:val="664335B3"/>
    <w:rsid w:val="66616DB8"/>
    <w:rsid w:val="66CD4960"/>
    <w:rsid w:val="66D46E8E"/>
    <w:rsid w:val="66E20713"/>
    <w:rsid w:val="66F142CC"/>
    <w:rsid w:val="67052709"/>
    <w:rsid w:val="67211344"/>
    <w:rsid w:val="67344392"/>
    <w:rsid w:val="675B50AA"/>
    <w:rsid w:val="67673741"/>
    <w:rsid w:val="676A4A82"/>
    <w:rsid w:val="67991C42"/>
    <w:rsid w:val="67A15757"/>
    <w:rsid w:val="67A53BAB"/>
    <w:rsid w:val="67BD4C65"/>
    <w:rsid w:val="67DF0556"/>
    <w:rsid w:val="67E34E9B"/>
    <w:rsid w:val="67EB6DB6"/>
    <w:rsid w:val="67F41C23"/>
    <w:rsid w:val="67FB260F"/>
    <w:rsid w:val="6811565F"/>
    <w:rsid w:val="682F63FA"/>
    <w:rsid w:val="683B6733"/>
    <w:rsid w:val="686374F7"/>
    <w:rsid w:val="686B60DD"/>
    <w:rsid w:val="687B78FA"/>
    <w:rsid w:val="68904245"/>
    <w:rsid w:val="6896600E"/>
    <w:rsid w:val="689E2817"/>
    <w:rsid w:val="68A04D44"/>
    <w:rsid w:val="68AD7871"/>
    <w:rsid w:val="68C270F7"/>
    <w:rsid w:val="68E836C9"/>
    <w:rsid w:val="69432FF2"/>
    <w:rsid w:val="69654B53"/>
    <w:rsid w:val="69661E73"/>
    <w:rsid w:val="697E3BC1"/>
    <w:rsid w:val="69A959E2"/>
    <w:rsid w:val="69C30CE9"/>
    <w:rsid w:val="69CF6BEB"/>
    <w:rsid w:val="69E15C95"/>
    <w:rsid w:val="69E90510"/>
    <w:rsid w:val="6A025658"/>
    <w:rsid w:val="6A20114F"/>
    <w:rsid w:val="6A247D3C"/>
    <w:rsid w:val="6A462E0B"/>
    <w:rsid w:val="6A507957"/>
    <w:rsid w:val="6A5B0C97"/>
    <w:rsid w:val="6A682BBF"/>
    <w:rsid w:val="6A800C4E"/>
    <w:rsid w:val="6AA76AB7"/>
    <w:rsid w:val="6AAA1898"/>
    <w:rsid w:val="6AB45B87"/>
    <w:rsid w:val="6AC41EE6"/>
    <w:rsid w:val="6AD13315"/>
    <w:rsid w:val="6AF0639C"/>
    <w:rsid w:val="6B1D74EC"/>
    <w:rsid w:val="6B290BF8"/>
    <w:rsid w:val="6B317545"/>
    <w:rsid w:val="6B393DCC"/>
    <w:rsid w:val="6B655DCB"/>
    <w:rsid w:val="6B7E4FDB"/>
    <w:rsid w:val="6B812A5A"/>
    <w:rsid w:val="6B8748E6"/>
    <w:rsid w:val="6B9C5E6A"/>
    <w:rsid w:val="6BA35ED2"/>
    <w:rsid w:val="6BB02EF2"/>
    <w:rsid w:val="6BB2091A"/>
    <w:rsid w:val="6BB8715C"/>
    <w:rsid w:val="6BC863EA"/>
    <w:rsid w:val="6BCB6951"/>
    <w:rsid w:val="6BD660B3"/>
    <w:rsid w:val="6BD73AAA"/>
    <w:rsid w:val="6BDE6EF1"/>
    <w:rsid w:val="6BF46B98"/>
    <w:rsid w:val="6C087771"/>
    <w:rsid w:val="6C1400F5"/>
    <w:rsid w:val="6C555B71"/>
    <w:rsid w:val="6C6F3512"/>
    <w:rsid w:val="6C7B6EF0"/>
    <w:rsid w:val="6C897C6D"/>
    <w:rsid w:val="6C8A07D5"/>
    <w:rsid w:val="6CD83568"/>
    <w:rsid w:val="6CFE1145"/>
    <w:rsid w:val="6D124684"/>
    <w:rsid w:val="6D2231D8"/>
    <w:rsid w:val="6D270AD5"/>
    <w:rsid w:val="6D5504F9"/>
    <w:rsid w:val="6D7376C6"/>
    <w:rsid w:val="6D9F2CB7"/>
    <w:rsid w:val="6DA33118"/>
    <w:rsid w:val="6DAC6511"/>
    <w:rsid w:val="6DAF2A19"/>
    <w:rsid w:val="6DE5707A"/>
    <w:rsid w:val="6DED61A9"/>
    <w:rsid w:val="6DF32A99"/>
    <w:rsid w:val="6E1B11D1"/>
    <w:rsid w:val="6E402623"/>
    <w:rsid w:val="6E4D10F9"/>
    <w:rsid w:val="6E5C28D0"/>
    <w:rsid w:val="6E7B465E"/>
    <w:rsid w:val="6EAD55EF"/>
    <w:rsid w:val="6EC86A8D"/>
    <w:rsid w:val="6EE54AA1"/>
    <w:rsid w:val="6EFF56F8"/>
    <w:rsid w:val="6F0103B8"/>
    <w:rsid w:val="6F100D33"/>
    <w:rsid w:val="6F201F20"/>
    <w:rsid w:val="6F203F5E"/>
    <w:rsid w:val="6F2C46CA"/>
    <w:rsid w:val="6F3203FA"/>
    <w:rsid w:val="6F51419F"/>
    <w:rsid w:val="6F5A6A88"/>
    <w:rsid w:val="6F6430DC"/>
    <w:rsid w:val="6F782962"/>
    <w:rsid w:val="6F7A7802"/>
    <w:rsid w:val="6F7E531F"/>
    <w:rsid w:val="6F844904"/>
    <w:rsid w:val="6FC37FA2"/>
    <w:rsid w:val="6FC466A4"/>
    <w:rsid w:val="6FC74D96"/>
    <w:rsid w:val="6FD61853"/>
    <w:rsid w:val="6FF57EBF"/>
    <w:rsid w:val="6FFD5FC4"/>
    <w:rsid w:val="70115F74"/>
    <w:rsid w:val="70121301"/>
    <w:rsid w:val="70137EFB"/>
    <w:rsid w:val="703852AA"/>
    <w:rsid w:val="703C4724"/>
    <w:rsid w:val="70454EEB"/>
    <w:rsid w:val="704A4309"/>
    <w:rsid w:val="70532A6B"/>
    <w:rsid w:val="706B7726"/>
    <w:rsid w:val="706E12AF"/>
    <w:rsid w:val="7080662B"/>
    <w:rsid w:val="70B80B20"/>
    <w:rsid w:val="70BE2301"/>
    <w:rsid w:val="70CD50A8"/>
    <w:rsid w:val="70D120DF"/>
    <w:rsid w:val="70D37131"/>
    <w:rsid w:val="70D95FD8"/>
    <w:rsid w:val="70FA708A"/>
    <w:rsid w:val="70FF4222"/>
    <w:rsid w:val="710A1075"/>
    <w:rsid w:val="712B44AB"/>
    <w:rsid w:val="712B719E"/>
    <w:rsid w:val="71350C62"/>
    <w:rsid w:val="714E3D46"/>
    <w:rsid w:val="71596B96"/>
    <w:rsid w:val="715C175F"/>
    <w:rsid w:val="71851859"/>
    <w:rsid w:val="71922CF0"/>
    <w:rsid w:val="719A1386"/>
    <w:rsid w:val="71BA24DE"/>
    <w:rsid w:val="71D37044"/>
    <w:rsid w:val="71DC7F4E"/>
    <w:rsid w:val="71ED344E"/>
    <w:rsid w:val="71F110C1"/>
    <w:rsid w:val="71F95CCD"/>
    <w:rsid w:val="7201340A"/>
    <w:rsid w:val="720654CF"/>
    <w:rsid w:val="721510B4"/>
    <w:rsid w:val="722E25C1"/>
    <w:rsid w:val="72840F55"/>
    <w:rsid w:val="728D7E8C"/>
    <w:rsid w:val="729C69E6"/>
    <w:rsid w:val="729F62B8"/>
    <w:rsid w:val="72A464ED"/>
    <w:rsid w:val="72AF6C02"/>
    <w:rsid w:val="72D2615C"/>
    <w:rsid w:val="72D450E2"/>
    <w:rsid w:val="72D57AC4"/>
    <w:rsid w:val="72D90AA0"/>
    <w:rsid w:val="730A1D54"/>
    <w:rsid w:val="73221761"/>
    <w:rsid w:val="73785168"/>
    <w:rsid w:val="737E1DEA"/>
    <w:rsid w:val="738738B4"/>
    <w:rsid w:val="738A3708"/>
    <w:rsid w:val="738B4DEE"/>
    <w:rsid w:val="739A7454"/>
    <w:rsid w:val="73A8532F"/>
    <w:rsid w:val="73B60230"/>
    <w:rsid w:val="73C63006"/>
    <w:rsid w:val="73ED3653"/>
    <w:rsid w:val="73F82B9E"/>
    <w:rsid w:val="73FE4A10"/>
    <w:rsid w:val="740B1D7C"/>
    <w:rsid w:val="740D7312"/>
    <w:rsid w:val="741344CE"/>
    <w:rsid w:val="74211173"/>
    <w:rsid w:val="744856F8"/>
    <w:rsid w:val="745A3B34"/>
    <w:rsid w:val="7461479D"/>
    <w:rsid w:val="74846509"/>
    <w:rsid w:val="749754FE"/>
    <w:rsid w:val="74BD5D52"/>
    <w:rsid w:val="74BF38A2"/>
    <w:rsid w:val="74FA52F8"/>
    <w:rsid w:val="75010EDB"/>
    <w:rsid w:val="754D17A7"/>
    <w:rsid w:val="75557AE6"/>
    <w:rsid w:val="75647B9C"/>
    <w:rsid w:val="757F0166"/>
    <w:rsid w:val="75861CDF"/>
    <w:rsid w:val="75893AED"/>
    <w:rsid w:val="758D187C"/>
    <w:rsid w:val="75A5380A"/>
    <w:rsid w:val="75C31563"/>
    <w:rsid w:val="75C67891"/>
    <w:rsid w:val="75E340A5"/>
    <w:rsid w:val="75E67CB4"/>
    <w:rsid w:val="76452595"/>
    <w:rsid w:val="76481088"/>
    <w:rsid w:val="76654BE4"/>
    <w:rsid w:val="76697E35"/>
    <w:rsid w:val="766F4F93"/>
    <w:rsid w:val="769A7A10"/>
    <w:rsid w:val="76A2596D"/>
    <w:rsid w:val="76BA45A0"/>
    <w:rsid w:val="76E46510"/>
    <w:rsid w:val="76E5127E"/>
    <w:rsid w:val="76FF5120"/>
    <w:rsid w:val="770F0868"/>
    <w:rsid w:val="771652C8"/>
    <w:rsid w:val="77185429"/>
    <w:rsid w:val="774D76E1"/>
    <w:rsid w:val="77736045"/>
    <w:rsid w:val="778E4B2A"/>
    <w:rsid w:val="77994462"/>
    <w:rsid w:val="779B7194"/>
    <w:rsid w:val="779F7E11"/>
    <w:rsid w:val="77A12101"/>
    <w:rsid w:val="77B57DD8"/>
    <w:rsid w:val="77B84FEE"/>
    <w:rsid w:val="77C71C81"/>
    <w:rsid w:val="77DD6C8F"/>
    <w:rsid w:val="77F518D3"/>
    <w:rsid w:val="77F6604D"/>
    <w:rsid w:val="78046775"/>
    <w:rsid w:val="78200C2F"/>
    <w:rsid w:val="7841450B"/>
    <w:rsid w:val="785725AA"/>
    <w:rsid w:val="787E34D0"/>
    <w:rsid w:val="78933D1B"/>
    <w:rsid w:val="78962CE2"/>
    <w:rsid w:val="78B14CE2"/>
    <w:rsid w:val="78BE363A"/>
    <w:rsid w:val="78C6536A"/>
    <w:rsid w:val="791578EF"/>
    <w:rsid w:val="791A0100"/>
    <w:rsid w:val="791C4C53"/>
    <w:rsid w:val="791C76F5"/>
    <w:rsid w:val="79610801"/>
    <w:rsid w:val="796754C4"/>
    <w:rsid w:val="7985575A"/>
    <w:rsid w:val="7987690D"/>
    <w:rsid w:val="798B6243"/>
    <w:rsid w:val="798E6A9E"/>
    <w:rsid w:val="79A8593A"/>
    <w:rsid w:val="79C80D8D"/>
    <w:rsid w:val="79CF442A"/>
    <w:rsid w:val="79E42F5F"/>
    <w:rsid w:val="79FE3928"/>
    <w:rsid w:val="7A1D7EE9"/>
    <w:rsid w:val="7A5C47A2"/>
    <w:rsid w:val="7A6F0140"/>
    <w:rsid w:val="7A7260FA"/>
    <w:rsid w:val="7A7B07D6"/>
    <w:rsid w:val="7A970B13"/>
    <w:rsid w:val="7A9A7729"/>
    <w:rsid w:val="7AAD40AD"/>
    <w:rsid w:val="7AB159B9"/>
    <w:rsid w:val="7B0E43FB"/>
    <w:rsid w:val="7B0F4CC3"/>
    <w:rsid w:val="7B286C2F"/>
    <w:rsid w:val="7B470C5B"/>
    <w:rsid w:val="7B686E2F"/>
    <w:rsid w:val="7BA41B32"/>
    <w:rsid w:val="7BC003D8"/>
    <w:rsid w:val="7BE95572"/>
    <w:rsid w:val="7BF20F2B"/>
    <w:rsid w:val="7BF22AEB"/>
    <w:rsid w:val="7C056157"/>
    <w:rsid w:val="7C0B0AAF"/>
    <w:rsid w:val="7C0E3C75"/>
    <w:rsid w:val="7C277C0A"/>
    <w:rsid w:val="7C287235"/>
    <w:rsid w:val="7C3821BE"/>
    <w:rsid w:val="7C3C4483"/>
    <w:rsid w:val="7C4A2787"/>
    <w:rsid w:val="7C4C6AAA"/>
    <w:rsid w:val="7C4F61A0"/>
    <w:rsid w:val="7C602B75"/>
    <w:rsid w:val="7C7F4D7E"/>
    <w:rsid w:val="7C835522"/>
    <w:rsid w:val="7C924EE0"/>
    <w:rsid w:val="7C9A0293"/>
    <w:rsid w:val="7CA20F6D"/>
    <w:rsid w:val="7CA836D1"/>
    <w:rsid w:val="7CA91153"/>
    <w:rsid w:val="7CB60B31"/>
    <w:rsid w:val="7CB82CD7"/>
    <w:rsid w:val="7CBB3CC2"/>
    <w:rsid w:val="7CC676CD"/>
    <w:rsid w:val="7CC84E72"/>
    <w:rsid w:val="7CDF7E35"/>
    <w:rsid w:val="7CE53FF7"/>
    <w:rsid w:val="7CED5971"/>
    <w:rsid w:val="7D015B4E"/>
    <w:rsid w:val="7D11279F"/>
    <w:rsid w:val="7D1E3D16"/>
    <w:rsid w:val="7D211435"/>
    <w:rsid w:val="7D226263"/>
    <w:rsid w:val="7D286D79"/>
    <w:rsid w:val="7D537544"/>
    <w:rsid w:val="7D770693"/>
    <w:rsid w:val="7D807C01"/>
    <w:rsid w:val="7D823537"/>
    <w:rsid w:val="7DB968EB"/>
    <w:rsid w:val="7DC6518F"/>
    <w:rsid w:val="7E120A51"/>
    <w:rsid w:val="7E290D84"/>
    <w:rsid w:val="7E2C6FA0"/>
    <w:rsid w:val="7E3465B7"/>
    <w:rsid w:val="7E3B26F9"/>
    <w:rsid w:val="7E4146DF"/>
    <w:rsid w:val="7E4963FA"/>
    <w:rsid w:val="7E537813"/>
    <w:rsid w:val="7E664C76"/>
    <w:rsid w:val="7E687DC7"/>
    <w:rsid w:val="7E7125D7"/>
    <w:rsid w:val="7E7E1057"/>
    <w:rsid w:val="7E975F30"/>
    <w:rsid w:val="7E9D5268"/>
    <w:rsid w:val="7EAC5210"/>
    <w:rsid w:val="7EEB6577"/>
    <w:rsid w:val="7F007B75"/>
    <w:rsid w:val="7F0E0AB1"/>
    <w:rsid w:val="7F0F7230"/>
    <w:rsid w:val="7F240E1E"/>
    <w:rsid w:val="7F253707"/>
    <w:rsid w:val="7F286FCE"/>
    <w:rsid w:val="7F34165B"/>
    <w:rsid w:val="7F3C5708"/>
    <w:rsid w:val="7F5D5777"/>
    <w:rsid w:val="7F710E5C"/>
    <w:rsid w:val="7F860065"/>
    <w:rsid w:val="7FE30C43"/>
    <w:rsid w:val="7FFD0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9"/>
    <w:pPr>
      <w:keepNext/>
      <w:keepLines/>
      <w:numPr>
        <w:ilvl w:val="0"/>
        <w:numId w:val="1"/>
      </w:numPr>
      <w:pBdr>
        <w:bottom w:val="single" w:color="auto" w:sz="48" w:space="1"/>
      </w:pBdr>
      <w:spacing w:before="600" w:after="330" w:line="578" w:lineRule="auto"/>
      <w:outlineLvl w:val="0"/>
    </w:pPr>
    <w:rPr>
      <w:rFonts w:eastAsia="黑体"/>
      <w:b/>
      <w:bCs/>
      <w:kern w:val="44"/>
      <w:sz w:val="44"/>
      <w:szCs w:val="44"/>
    </w:rPr>
  </w:style>
  <w:style w:type="paragraph" w:styleId="5">
    <w:name w:val="heading 2"/>
    <w:basedOn w:val="1"/>
    <w:next w:val="6"/>
    <w:qFormat/>
    <w:uiPriority w:val="0"/>
    <w:pPr>
      <w:keepNext/>
      <w:keepLines/>
      <w:widowControl w:val="0"/>
      <w:numPr>
        <w:ilvl w:val="1"/>
        <w:numId w:val="1"/>
      </w:numPr>
      <w:spacing w:before="260" w:after="260"/>
      <w:outlineLvl w:val="1"/>
    </w:pPr>
    <w:rPr>
      <w:rFonts w:eastAsia="黑体"/>
      <w:b/>
      <w:kern w:val="2"/>
      <w:sz w:val="32"/>
    </w:rPr>
  </w:style>
  <w:style w:type="paragraph" w:styleId="6">
    <w:name w:val="heading 3"/>
    <w:basedOn w:val="1"/>
    <w:next w:val="1"/>
    <w:qFormat/>
    <w:uiPriority w:val="9"/>
    <w:pPr>
      <w:keepNext/>
      <w:keepLines/>
      <w:numPr>
        <w:ilvl w:val="2"/>
        <w:numId w:val="1"/>
      </w:numPr>
      <w:spacing w:before="260" w:after="260" w:line="416" w:lineRule="auto"/>
      <w:outlineLvl w:val="2"/>
    </w:pPr>
    <w:rPr>
      <w:rFonts w:ascii="Arial" w:hAnsi="Arial" w:eastAsia="黑体"/>
      <w:b/>
      <w:bCs/>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customStyle="1" w:styleId="4">
    <w:name w:val="正文（绿盟科技）"/>
    <w:qFormat/>
    <w:uiPriority w:val="0"/>
    <w:pPr>
      <w:spacing w:line="300" w:lineRule="auto"/>
    </w:pPr>
    <w:rPr>
      <w:rFonts w:ascii="Arial" w:hAnsi="Arial" w:eastAsia="宋体" w:cs="Times New Roman"/>
      <w:sz w:val="21"/>
      <w:szCs w:val="21"/>
      <w:lang w:val="en-US" w:eastAsia="zh-CN" w:bidi="ar-SA"/>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Plain Text"/>
    <w:basedOn w:val="1"/>
    <w:qFormat/>
    <w:uiPriority w:val="0"/>
    <w:pPr>
      <w:widowControl w:val="0"/>
      <w:jc w:val="both"/>
    </w:pPr>
    <w:rPr>
      <w:rFonts w:ascii="宋体" w:hAnsi="Courier New"/>
      <w:kern w:val="2"/>
      <w:sz w:val="21"/>
      <w:lang w:eastAsia="zh-CN"/>
    </w:rPr>
  </w:style>
  <w:style w:type="paragraph" w:styleId="9">
    <w:name w:val="Balloon Text"/>
    <w:basedOn w:val="1"/>
    <w:link w:val="17"/>
    <w:semiHidden/>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rPr>
      <w:color w:val="000000"/>
      <w:kern w:val="0"/>
      <w:sz w:val="24"/>
      <w:szCs w:val="24"/>
    </w:rPr>
  </w:style>
  <w:style w:type="character" w:customStyle="1" w:styleId="15">
    <w:name w:val="页眉 Char"/>
    <w:basedOn w:val="14"/>
    <w:link w:val="11"/>
    <w:qFormat/>
    <w:uiPriority w:val="99"/>
    <w:rPr>
      <w:rFonts w:ascii="Times New Roman" w:hAnsi="Times New Roman" w:eastAsia="宋体" w:cs="Times New Roman"/>
      <w:sz w:val="18"/>
      <w:szCs w:val="18"/>
    </w:rPr>
  </w:style>
  <w:style w:type="character" w:customStyle="1" w:styleId="16">
    <w:name w:val="页脚 Char"/>
    <w:basedOn w:val="14"/>
    <w:link w:val="10"/>
    <w:qFormat/>
    <w:uiPriority w:val="99"/>
    <w:rPr>
      <w:rFonts w:ascii="Times New Roman" w:hAnsi="Times New Roman" w:eastAsia="宋体" w:cs="Times New Roman"/>
      <w:sz w:val="18"/>
      <w:szCs w:val="18"/>
    </w:rPr>
  </w:style>
  <w:style w:type="character" w:customStyle="1" w:styleId="17">
    <w:name w:val="批注框文本 Char"/>
    <w:basedOn w:val="14"/>
    <w:link w:val="9"/>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Table Paragraph"/>
    <w:basedOn w:val="1"/>
    <w:unhideWhenUsed/>
    <w:qFormat/>
    <w:uiPriority w:val="1"/>
    <w:rPr>
      <w:color w:val="000000"/>
      <w:kern w:val="0"/>
      <w:sz w:val="24"/>
      <w:szCs w:val="24"/>
    </w:rPr>
  </w:style>
  <w:style w:type="character" w:customStyle="1" w:styleId="20">
    <w:name w:val="占位符文本1"/>
    <w:basedOn w:val="14"/>
    <w:semiHidden/>
    <w:qFormat/>
    <w:uiPriority w:val="99"/>
    <w:rPr>
      <w:color w:val="808080"/>
    </w:rPr>
  </w:style>
  <w:style w:type="paragraph" w:styleId="21">
    <w:name w:val="List Paragraph"/>
    <w:basedOn w:val="1"/>
    <w:unhideWhenUsed/>
    <w:qFormat/>
    <w:uiPriority w:val="99"/>
    <w:pPr>
      <w:ind w:firstLine="420" w:firstLineChars="200"/>
    </w:pPr>
  </w:style>
  <w:style w:type="paragraph" w:customStyle="1" w:styleId="22">
    <w:name w:val="标题 2（绿盟科技）"/>
    <w:basedOn w:val="5"/>
    <w:next w:val="4"/>
    <w:qFormat/>
    <w:uiPriority w:val="0"/>
    <w:pPr>
      <w:numPr>
        <w:ilvl w:val="0"/>
        <w:numId w:val="0"/>
      </w:numPr>
      <w:spacing w:line="415" w:lineRule="auto"/>
    </w:pPr>
    <w:rPr>
      <w:szCs w:val="32"/>
    </w:rPr>
  </w:style>
  <w:style w:type="paragraph" w:customStyle="1" w:styleId="23">
    <w:name w:val="正文首行缩进（绿盟科技）"/>
    <w:basedOn w:val="4"/>
    <w:qFormat/>
    <w:uiPriority w:val="0"/>
    <w:pPr>
      <w:spacing w:after="50"/>
      <w:ind w:firstLine="200" w:firstLineChars="200"/>
    </w:pPr>
  </w:style>
  <w:style w:type="paragraph" w:customStyle="1" w:styleId="24">
    <w:name w:val="标题 3（绿盟科技）"/>
    <w:basedOn w:val="6"/>
    <w:next w:val="4"/>
    <w:qFormat/>
    <w:uiPriority w:val="0"/>
    <w:pPr>
      <w:widowControl w:val="0"/>
      <w:numPr>
        <w:ilvl w:val="0"/>
        <w:numId w:val="0"/>
      </w:numPr>
      <w:tabs>
        <w:tab w:val="left" w:pos="960"/>
      </w:tabs>
      <w:spacing w:line="415" w:lineRule="auto"/>
    </w:pPr>
    <w:rPr>
      <w:bCs w:val="0"/>
      <w:szCs w:val="30"/>
    </w:rPr>
  </w:style>
  <w:style w:type="paragraph" w:customStyle="1" w:styleId="25">
    <w:name w:val="二级标题"/>
    <w:basedOn w:val="5"/>
    <w:next w:val="1"/>
    <w:qFormat/>
    <w:uiPriority w:val="0"/>
    <w:pPr>
      <w:numPr>
        <w:numId w:val="2"/>
      </w:numPr>
      <w:ind w:left="210" w:leftChars="100" w:firstLine="0"/>
      <w:jc w:val="left"/>
    </w:pPr>
  </w:style>
  <w:style w:type="paragraph" w:customStyle="1" w:styleId="26">
    <w:name w:val="三级标题"/>
    <w:basedOn w:val="6"/>
    <w:next w:val="1"/>
    <w:qFormat/>
    <w:uiPriority w:val="0"/>
    <w:pPr>
      <w:numPr>
        <w:numId w:val="2"/>
      </w:numPr>
      <w:ind w:left="1134" w:firstLine="0"/>
      <w:jc w:val="left"/>
    </w:pPr>
    <w:rPr>
      <w:bCs w:val="0"/>
    </w:rPr>
  </w:style>
  <w:style w:type="paragraph" w:customStyle="1" w:styleId="27">
    <w:name w:val="四级标题"/>
    <w:next w:val="1"/>
    <w:qFormat/>
    <w:uiPriority w:val="0"/>
    <w:pPr>
      <w:numPr>
        <w:ilvl w:val="0"/>
        <w:numId w:val="3"/>
      </w:numPr>
    </w:pPr>
    <w:rPr>
      <w:rFonts w:ascii="Calibri" w:hAnsi="Calibri" w:eastAsia="宋体" w:cs="Times New Roman"/>
      <w:kern w:val="2"/>
      <w:sz w:val="21"/>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4</TotalTime>
  <ScaleCrop>false</ScaleCrop>
  <LinksUpToDate>false</LinksUpToDate>
  <CharactersWithSpaces>21832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2021-11-17T02:56:38Z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6F13299F47164D43A861BA708BB5F43A</vt:lpwstr>
  </property>
</Properties>
</file>