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719"/>
        <w:gridCol w:w="1560"/>
        <w:gridCol w:w="171"/>
        <w:gridCol w:w="989"/>
        <w:gridCol w:w="949"/>
        <w:gridCol w:w="661"/>
        <w:gridCol w:w="357"/>
        <w:gridCol w:w="294"/>
        <w:gridCol w:w="680"/>
        <w:gridCol w:w="1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成都卓微科技有限公司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成都高新区天目路77号10栋1单元6楼614号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成都高新区天目路77号10栋1单元6楼614号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62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冯晟</w:t>
            </w:r>
            <w:bookmarkEnd w:id="3"/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15390073503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sheng.feng@vibview.cn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629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刘世明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67" w:type="dxa"/>
            <w:gridSpan w:val="3"/>
            <w:vAlign w:val="center"/>
          </w:tcPr>
          <w:p/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62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0272-2020-Q-2021</w:t>
            </w:r>
            <w:bookmarkEnd w:id="7"/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90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9" w:name="审核范围"/>
            <w:bookmarkStart w:id="30" w:name="_GoBack"/>
            <w:r>
              <w:rPr>
                <w:sz w:val="20"/>
              </w:rPr>
              <w:t>振动（在线、离线）监测系统的软件、硬件开发及销售</w:t>
            </w:r>
            <w:bookmarkEnd w:id="30"/>
            <w:bookmarkEnd w:id="19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29.09.01;29.10.07;33.02.01;34.05.00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2021年11月15日 上午至2021年11月15日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1.0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29.09.01,29.10.07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4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漆林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ISC-JSZJ-417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成都沐宇同芯电子有限公司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29.09.01,29.10.07,33.02.01,34.05.00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18583928070</w:t>
            </w:r>
          </w:p>
        </w:tc>
        <w:tc>
          <w:tcPr>
            <w:tcW w:w="14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8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1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4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vAlign w:val="center"/>
          </w:tcPr>
          <w:p/>
        </w:tc>
        <w:tc>
          <w:tcPr>
            <w:tcW w:w="14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vAlign w:val="center"/>
          </w:tcPr>
          <w:p/>
        </w:tc>
        <w:tc>
          <w:tcPr>
            <w:tcW w:w="1350" w:type="dxa"/>
            <w:gridSpan w:val="4"/>
            <w:vAlign w:val="center"/>
          </w:tcPr>
          <w:p/>
        </w:tc>
        <w:tc>
          <w:tcPr>
            <w:tcW w:w="14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50165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1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15101755070</w:t>
            </w:r>
          </w:p>
        </w:tc>
        <w:tc>
          <w:tcPr>
            <w:tcW w:w="173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2021.11.13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2021.11.13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2021.11.13</w:t>
            </w:r>
          </w:p>
        </w:tc>
      </w:tr>
    </w:tbl>
    <w:p/>
    <w:tbl>
      <w:tblPr>
        <w:tblStyle w:val="6"/>
        <w:tblW w:w="1026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4"/>
        <w:gridCol w:w="1357"/>
        <w:gridCol w:w="6431"/>
        <w:gridCol w:w="135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4" w:hRule="atLeast"/>
          <w:jc w:val="center"/>
        </w:trPr>
        <w:tc>
          <w:tcPr>
            <w:tcW w:w="248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643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  <w:tc>
          <w:tcPr>
            <w:tcW w:w="13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  <w:jc w:val="center"/>
        </w:trPr>
        <w:tc>
          <w:tcPr>
            <w:tcW w:w="2481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6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12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2" w:hRule="atLeast"/>
          <w:jc w:val="center"/>
        </w:trPr>
        <w:tc>
          <w:tcPr>
            <w:tcW w:w="11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范围的确认，资质的确认，管理体系变化情况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法律法规执行情况，重大质量事故，及顾客投诉和质量监督抽查情况，环境安全投诉，上次不符合验证。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sz w:val="20"/>
              </w:rPr>
              <w:t>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5" w:hRule="atLeast"/>
          <w:jc w:val="center"/>
        </w:trPr>
        <w:tc>
          <w:tcPr>
            <w:tcW w:w="11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  <w:jc w:val="center"/>
        </w:trPr>
        <w:tc>
          <w:tcPr>
            <w:tcW w:w="11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12：00-12：30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中午休息0.5小时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6" w:hRule="atLeast"/>
          <w:jc w:val="center"/>
        </w:trPr>
        <w:tc>
          <w:tcPr>
            <w:tcW w:w="11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技术研发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上次不符合验证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宋明珠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sz w:val="20"/>
                <w:lang w:val="de-DE"/>
              </w:rPr>
              <w:t>漆林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1" w:hRule="atLeast"/>
          <w:jc w:val="center"/>
        </w:trPr>
        <w:tc>
          <w:tcPr>
            <w:tcW w:w="11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市场营销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8.2产品和服务的要求；9.1.2顾客满意；8.4外部提供过程、产品和服务的控制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D36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14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2021-11-15T07:26:29Z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