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2" w:rsidRDefault="001E7F64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C78D2">
        <w:trPr>
          <w:trHeight w:val="90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0C78D2" w:rsidRDefault="001E7F6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浙江申宇科技股份有限公司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陪同人员：</w:t>
            </w:r>
            <w:r w:rsidR="0051465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严迪辉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C78D2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审核员：李蒙生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下午至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78D2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3C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——：■正本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■副本；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■原件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0C78D2" w:rsidRDefault="001E7F6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31121355351280P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0C78D2" w:rsidRDefault="001E7F6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研发、制造、销售：电控设备、发电设备、机电产品、高低压电器、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EPS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UPS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直流电源、及元器件、变压器；软件开发、销售；实业投资；国家准许的货物与技术自由进出口贸易。（依法须经批准的项目，经相关部门批准后方可开展经营活动）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0C78D2" w:rsidRDefault="001E7F64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0C78D2" w:rsidRDefault="001E7F64">
            <w:pPr>
              <w:ind w:firstLineChars="200" w:firstLine="420"/>
            </w:pPr>
            <w:bookmarkStart w:id="1" w:name="审核范围"/>
            <w:r>
              <w:t>Q</w:t>
            </w:r>
            <w:r>
              <w:t>：直流电源屏、</w:t>
            </w:r>
            <w:r>
              <w:t>UPS</w:t>
            </w:r>
            <w:r>
              <w:t>直流电源（涉及</w:t>
            </w:r>
            <w:r>
              <w:t>3C</w:t>
            </w:r>
            <w:r>
              <w:t>认证的产品除外）的研发、制造（组装）及销售</w:t>
            </w:r>
          </w:p>
          <w:p w:rsidR="000C78D2" w:rsidRDefault="001E7F64">
            <w:pPr>
              <w:ind w:firstLineChars="200" w:firstLine="420"/>
            </w:pPr>
            <w:r>
              <w:t>E</w:t>
            </w:r>
            <w:r>
              <w:t>：直流电源屏、</w:t>
            </w:r>
            <w:r>
              <w:t>UPS</w:t>
            </w:r>
            <w:r>
              <w:t>直流电源（涉及</w:t>
            </w:r>
            <w:r>
              <w:t>3C</w:t>
            </w:r>
            <w:r>
              <w:t>认证的产品除外）的研发、制造（组装）及销售所涉及场所的相关环境管理活动</w:t>
            </w:r>
          </w:p>
          <w:p w:rsidR="000C78D2" w:rsidRDefault="001E7F64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t>O</w:t>
            </w:r>
            <w:r>
              <w:t>：直流电</w:t>
            </w:r>
            <w:r>
              <w:t>源屏、</w:t>
            </w:r>
            <w:r>
              <w:t>UPS</w:t>
            </w:r>
            <w:r>
              <w:t>直流电源（涉及</w:t>
            </w:r>
            <w:r>
              <w:t>3C</w:t>
            </w:r>
            <w:r>
              <w:t>认证的产品除外）的研发、制造（组装）及销售所涉及场所</w:t>
            </w:r>
            <w:r>
              <w:lastRenderedPageBreak/>
              <w:t>的相关职业健康安全管理活动</w:t>
            </w:r>
            <w:bookmarkEnd w:id="1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——：■正本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□副本；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■原件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31121355351280P001W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自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日止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仪器仪表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制造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业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0C78D2" w:rsidRDefault="000C78D2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szCs w:val="21"/>
                <w:u w:val="single"/>
              </w:rPr>
              <w:t>浙江省丽水市青田县油竹街道江滨路</w:t>
            </w:r>
            <w:r>
              <w:rPr>
                <w:szCs w:val="21"/>
                <w:u w:val="single"/>
              </w:rPr>
              <w:t>389</w:t>
            </w:r>
            <w:r>
              <w:rPr>
                <w:szCs w:val="21"/>
                <w:u w:val="single"/>
              </w:rPr>
              <w:t>号</w:t>
            </w:r>
            <w:bookmarkEnd w:id="2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XX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许可证》内容一致。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bookmarkStart w:id="3" w:name="生产地址"/>
            <w:r>
              <w:rPr>
                <w:szCs w:val="21"/>
                <w:u w:val="single"/>
              </w:rPr>
              <w:t>浙江省丽水市青田县温溪镇横溪工业区</w:t>
            </w:r>
            <w:r>
              <w:rPr>
                <w:szCs w:val="21"/>
                <w:u w:val="single"/>
              </w:rPr>
              <w:t>2</w:t>
            </w:r>
            <w:r>
              <w:rPr>
                <w:szCs w:val="21"/>
                <w:u w:val="single"/>
              </w:rPr>
              <w:t>号</w:t>
            </w:r>
            <w:bookmarkEnd w:id="3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QMS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与组织总部在同一管理体系下运行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临时场所进行监督管理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rPr>
          <w:trHeight w:val="36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服务流程图：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研发：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市场调研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——产品立项——设计研发——设计评审——设计出图——样机投产—组装——样机调试——样机改进——样机测试——样机完成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制造：客户接触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合同评审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签订合同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填立项单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采购材料（元器件、配线、柜体、断电器、开关）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组装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调试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检验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贴标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包装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入库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销售：客户接触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合同评审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签订合同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客户付款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入帐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采购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客户提货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-----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验收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服务的班次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个月以上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2021.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FSMSMS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HACCP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确定风险的识别和评价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组织机构设置、职责分配及沟通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51465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未识别柜体生产外包过程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被主管部门处罚和曝光情况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已发生，说明：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其他机构转入情况（适用时）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已收集到以往的不符合项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51465D"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5146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5146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pStyle w:val="a4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守法诚信追求精品，预防污染保护环境；关爱员工健康安全，持续改进追求卓越。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bookmarkStart w:id="4" w:name="_GoBack"/>
            <w:bookmarkEnd w:id="4"/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质量目标：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――产品出厂合格率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100%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――顾客满意度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以上。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环境目标和指标：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――固体废弃物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100%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分类，合理处理；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――环境污染事故发生率为零。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职业健康安全目标和指标：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――杜绝各类重伤以上事故，且事故发生率为零；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――杜绝火灾事故，火灾事故发生率为零。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份；覆盖了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3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份；见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产品检验规程、焊接操作规程、数控机床安全操作规程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63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清单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0C78D2" w:rsidRDefault="000C78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0C78D2" w:rsidRDefault="001E7F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0C78D2" w:rsidRDefault="000C78D2">
      <w:pPr>
        <w:rPr>
          <w:rFonts w:asciiTheme="minorEastAsia" w:eastAsiaTheme="minorEastAsia" w:hAnsiTheme="minorEastAsia"/>
        </w:rPr>
      </w:pPr>
    </w:p>
    <w:p w:rsidR="000C78D2" w:rsidRDefault="001E7F64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</w:t>
      </w:r>
      <w:r>
        <w:rPr>
          <w:rFonts w:asciiTheme="minorEastAsia" w:eastAsiaTheme="minorEastAsia" w:hAnsiTheme="minorEastAsia" w:hint="eastAsia"/>
        </w:rPr>
        <w:t>N</w:t>
      </w:r>
    </w:p>
    <w:sectPr w:rsidR="000C78D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64" w:rsidRDefault="001E7F64">
      <w:pPr>
        <w:spacing w:line="240" w:lineRule="auto"/>
      </w:pPr>
      <w:r>
        <w:separator/>
      </w:r>
    </w:p>
  </w:endnote>
  <w:endnote w:type="continuationSeparator" w:id="0">
    <w:p w:rsidR="001E7F64" w:rsidRDefault="001E7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C78D2" w:rsidRDefault="001E7F6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465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465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78D2" w:rsidRDefault="000C78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64" w:rsidRDefault="001E7F64">
      <w:pPr>
        <w:spacing w:after="0"/>
      </w:pPr>
      <w:r>
        <w:separator/>
      </w:r>
    </w:p>
  </w:footnote>
  <w:footnote w:type="continuationSeparator" w:id="0">
    <w:p w:rsidR="001E7F64" w:rsidRDefault="001E7F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D2" w:rsidRDefault="001E7F64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-15240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C78D2" w:rsidRDefault="001E7F6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/Oxy1wAAAAoBAAAPAAAAAAAAAAEAIAAAACIAAABkcnMvZG93bnJldi54&#10;bWxQSwECFAAUAAAACACHTuJAywrJH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78D2" w:rsidRDefault="001E7F64" w:rsidP="0051465D">
    <w:pPr>
      <w:pStyle w:val="a0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72148"/>
    <w:rsid w:val="00085E51"/>
    <w:rsid w:val="000C78D2"/>
    <w:rsid w:val="00117208"/>
    <w:rsid w:val="00172B43"/>
    <w:rsid w:val="001E7F64"/>
    <w:rsid w:val="002D107B"/>
    <w:rsid w:val="00394478"/>
    <w:rsid w:val="004A6103"/>
    <w:rsid w:val="0051465D"/>
    <w:rsid w:val="00545A5B"/>
    <w:rsid w:val="005623A7"/>
    <w:rsid w:val="005742D6"/>
    <w:rsid w:val="006B0602"/>
    <w:rsid w:val="006F14E3"/>
    <w:rsid w:val="007F4ADB"/>
    <w:rsid w:val="00820660"/>
    <w:rsid w:val="00830BA7"/>
    <w:rsid w:val="008D3786"/>
    <w:rsid w:val="009D547F"/>
    <w:rsid w:val="00AB45AE"/>
    <w:rsid w:val="00B03EF4"/>
    <w:rsid w:val="00B67F2E"/>
    <w:rsid w:val="00B843AB"/>
    <w:rsid w:val="00B87BD0"/>
    <w:rsid w:val="00BB7F8D"/>
    <w:rsid w:val="00C341DE"/>
    <w:rsid w:val="00C74AB3"/>
    <w:rsid w:val="00D05C69"/>
    <w:rsid w:val="00DC36FE"/>
    <w:rsid w:val="00E6766F"/>
    <w:rsid w:val="00E75C35"/>
    <w:rsid w:val="00EB0FBC"/>
    <w:rsid w:val="00F47B54"/>
    <w:rsid w:val="00FA4BBF"/>
    <w:rsid w:val="38A07079"/>
    <w:rsid w:val="46784AF1"/>
    <w:rsid w:val="4FFF68AE"/>
    <w:rsid w:val="520C1C47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0">
    <w:name w:val="正文文本 Char"/>
    <w:basedOn w:val="a1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0">
    <w:name w:val="正文文本 Char"/>
    <w:basedOn w:val="a1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105</cp:revision>
  <dcterms:created xsi:type="dcterms:W3CDTF">2015-06-17T12:51:00Z</dcterms:created>
  <dcterms:modified xsi:type="dcterms:W3CDTF">2021-12-04T06:07:00Z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