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r>
        <w:rPr>
          <w:rFonts w:hint="eastAsia" w:ascii="隶书" w:hAnsi="宋体" w:eastAsia="隶书"/>
          <w:bCs/>
          <w:color w:val="000000"/>
          <w:sz w:val="36"/>
          <w:szCs w:val="36"/>
          <w:lang w:eastAsia="zh-CN"/>
        </w:rPr>
        <w:t>（</w:t>
      </w:r>
      <w:r>
        <w:rPr>
          <w:rFonts w:hint="eastAsia" w:ascii="隶书" w:hAnsi="宋体" w:eastAsia="隶书"/>
          <w:bCs/>
          <w:color w:val="000000"/>
          <w:sz w:val="36"/>
          <w:szCs w:val="36"/>
          <w:lang w:val="en-US" w:eastAsia="zh-CN"/>
        </w:rPr>
        <w:t>远程</w:t>
      </w:r>
      <w:r>
        <w:rPr>
          <w:rFonts w:hint="eastAsia" w:ascii="隶书" w:hAnsi="宋体" w:eastAsia="隶书"/>
          <w:bCs/>
          <w:color w:val="000000"/>
          <w:sz w:val="36"/>
          <w:szCs w:val="36"/>
          <w:lang w:eastAsia="zh-CN"/>
        </w:rPr>
        <w:t>）</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ascii="宋体" w:hAnsi="宋体" w:cs="Arial"/>
                <w:szCs w:val="21"/>
              </w:rPr>
              <w:t>受审核部门：办公室  主管领导：</w:t>
            </w:r>
            <w:r>
              <w:rPr>
                <w:rFonts w:hint="eastAsia"/>
                <w:szCs w:val="21"/>
              </w:rPr>
              <w:t>缪哲芳</w:t>
            </w:r>
            <w:r>
              <w:rPr>
                <w:rFonts w:hint="eastAsia" w:ascii="宋体" w:hAnsi="宋体" w:cs="Arial"/>
                <w:szCs w:val="21"/>
              </w:rPr>
              <w:t xml:space="preserve">     陪同人员：</w:t>
            </w:r>
            <w:r>
              <w:rPr>
                <w:rFonts w:hint="eastAsia"/>
                <w:szCs w:val="21"/>
              </w:rPr>
              <w:t>缪哲芳</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tc>
        <w:tc>
          <w:tcPr>
            <w:tcW w:w="998"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伍光华</w:t>
            </w:r>
            <w:r>
              <w:rPr>
                <w:rFonts w:hint="eastAsia" w:ascii="宋体" w:hAnsi="宋体" w:cs="Arial"/>
                <w:szCs w:val="21"/>
              </w:rPr>
              <w:t xml:space="preserve"> </w:t>
            </w:r>
            <w:r>
              <w:rPr>
                <w:rFonts w:ascii="宋体" w:hAnsi="宋体" w:cs="Arial"/>
                <w:szCs w:val="21"/>
              </w:rPr>
              <w:t xml:space="preserve">   </w:t>
            </w:r>
            <w:r>
              <w:rPr>
                <w:rFonts w:hint="eastAsia" w:ascii="宋体" w:hAnsi="宋体" w:cs="Arial"/>
                <w:szCs w:val="21"/>
              </w:rPr>
              <w:t xml:space="preserve"> </w:t>
            </w:r>
            <w:r>
              <w:rPr>
                <w:sz w:val="18"/>
                <w:szCs w:val="18"/>
              </w:rPr>
              <w:t xml:space="preserve"> </w:t>
            </w:r>
            <w:r>
              <w:rPr>
                <w:rFonts w:hint="eastAsia"/>
                <w:sz w:val="24"/>
                <w:szCs w:val="24"/>
              </w:rPr>
              <w:t>审核时间：</w:t>
            </w:r>
            <w:r>
              <w:rPr>
                <w:rFonts w:hint="eastAsia" w:ascii="宋体" w:hAnsi="宋体" w:cs="Arial"/>
                <w:szCs w:val="21"/>
              </w:rPr>
              <w:t>202</w:t>
            </w:r>
            <w:r>
              <w:rPr>
                <w:rFonts w:hint="eastAsia" w:ascii="宋体" w:hAnsi="宋体" w:cs="Arial"/>
                <w:szCs w:val="21"/>
                <w:lang w:val="en-US" w:eastAsia="zh-CN"/>
              </w:rPr>
              <w:t>1</w:t>
            </w:r>
            <w:r>
              <w:rPr>
                <w:rFonts w:hint="eastAsia" w:ascii="宋体" w:hAnsi="宋体" w:cs="Arial"/>
                <w:szCs w:val="21"/>
              </w:rPr>
              <w:t>年</w:t>
            </w:r>
            <w:r>
              <w:rPr>
                <w:rFonts w:ascii="宋体" w:hAnsi="宋体" w:cs="Arial"/>
                <w:szCs w:val="21"/>
              </w:rPr>
              <w:t>11</w:t>
            </w:r>
            <w:r>
              <w:rPr>
                <w:rFonts w:hint="eastAsia" w:ascii="宋体" w:hAnsi="宋体" w:cs="Arial"/>
                <w:szCs w:val="21"/>
              </w:rPr>
              <w:t>月</w:t>
            </w:r>
            <w:r>
              <w:rPr>
                <w:rFonts w:hint="eastAsia" w:ascii="宋体" w:hAnsi="宋体" w:cs="Arial"/>
                <w:szCs w:val="21"/>
                <w:lang w:val="en-US" w:eastAsia="zh-CN"/>
              </w:rPr>
              <w:t>15</w:t>
            </w:r>
            <w:r>
              <w:rPr>
                <w:rFonts w:hint="eastAsia" w:ascii="宋体" w:hAnsi="宋体" w:cs="Arial"/>
                <w:szCs w:val="21"/>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tc>
        <w:tc>
          <w:tcPr>
            <w:tcW w:w="998" w:type="dxa"/>
            <w:vMerge w:val="continue"/>
            <w:vAlign w:val="center"/>
          </w:tcPr>
          <w:p/>
        </w:tc>
        <w:tc>
          <w:tcPr>
            <w:tcW w:w="10004" w:type="dxa"/>
            <w:vAlign w:val="center"/>
          </w:tcPr>
          <w:p>
            <w:pPr>
              <w:adjustRightInd w:val="0"/>
              <w:snapToGrid w:val="0"/>
              <w:ind w:right="105" w:rightChars="50"/>
              <w:textAlignment w:val="baseline"/>
              <w:rPr>
                <w:sz w:val="24"/>
                <w:szCs w:val="24"/>
              </w:rPr>
            </w:pPr>
            <w:r>
              <w:rPr>
                <w:rFonts w:hint="eastAsia"/>
                <w:sz w:val="24"/>
                <w:szCs w:val="24"/>
              </w:rPr>
              <w:t>审核条款</w:t>
            </w:r>
            <w:r>
              <w:rPr>
                <w:rFonts w:hint="eastAsia"/>
                <w:szCs w:val="21"/>
              </w:rPr>
              <w:t xml:space="preserve"> </w:t>
            </w:r>
            <w:r>
              <w:rPr>
                <w:rFonts w:hint="eastAsia"/>
                <w:szCs w:val="21"/>
                <w:lang w:val="en-US" w:eastAsia="zh-CN"/>
              </w:rPr>
              <w:t>EO</w:t>
            </w:r>
            <w:r>
              <w:rPr>
                <w:rFonts w:hint="eastAsia" w:ascii="宋体" w:hAnsi="宋体" w:cs="Arial"/>
                <w:color w:val="auto"/>
                <w:sz w:val="21"/>
                <w:szCs w:val="21"/>
                <w:u w:val="single"/>
              </w:rPr>
              <w:t>6.1.2环境因素</w:t>
            </w:r>
            <w:r>
              <w:rPr>
                <w:rFonts w:hint="eastAsia" w:ascii="宋体" w:hAnsi="宋体" w:cs="Arial"/>
                <w:color w:val="auto"/>
                <w:spacing w:val="-6"/>
                <w:sz w:val="21"/>
                <w:szCs w:val="21"/>
                <w:u w:val="single"/>
                <w:lang w:val="en-US" w:eastAsia="zh-CN"/>
              </w:rPr>
              <w:t>/危险源</w:t>
            </w:r>
            <w:r>
              <w:rPr>
                <w:rFonts w:hint="eastAsia" w:ascii="宋体" w:hAnsi="宋体" w:cs="Arial"/>
                <w:color w:val="auto"/>
                <w:sz w:val="21"/>
                <w:szCs w:val="21"/>
                <w:u w:val="single"/>
              </w:rPr>
              <w:t>的识别与评价、6.1.3合规义务、6.1.4措施的策划、8.1运行策划和控制、</w:t>
            </w:r>
            <w:r>
              <w:rPr>
                <w:rFonts w:hint="eastAsia" w:ascii="宋体" w:hAnsi="宋体" w:cs="Arial"/>
                <w:color w:val="auto"/>
                <w:sz w:val="21"/>
                <w:szCs w:val="21"/>
              </w:rPr>
              <w:t>（9.1.1总则、</w:t>
            </w:r>
            <w:r>
              <w:rPr>
                <w:rFonts w:hint="eastAsia" w:ascii="宋体" w:hAnsi="宋体" w:cs="Arial"/>
                <w:color w:val="auto"/>
                <w:sz w:val="21"/>
                <w:szCs w:val="21"/>
                <w:u w:val="single"/>
              </w:rPr>
              <w:t>9.1.2合规性评价</w:t>
            </w:r>
            <w:r>
              <w:rPr>
                <w:rFonts w:hint="eastAsia" w:ascii="宋体" w:hAnsi="宋体" w:cs="Arial"/>
                <w:color w:val="auto"/>
                <w:sz w:val="21"/>
                <w:szCs w:val="21"/>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环境因素识别、危险源识别</w:t>
            </w:r>
          </w:p>
        </w:tc>
        <w:tc>
          <w:tcPr>
            <w:tcW w:w="998"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6.1</w:t>
            </w:r>
            <w:r>
              <w:rPr>
                <w:rFonts w:hint="eastAsia" w:ascii="宋体" w:hAnsi="宋体" w:cs="宋体"/>
                <w:szCs w:val="21"/>
              </w:rPr>
              <w:t>.</w:t>
            </w:r>
            <w:r>
              <w:rPr>
                <w:rFonts w:ascii="宋体" w:hAnsi="宋体" w:cs="宋体"/>
                <w:szCs w:val="21"/>
              </w:rPr>
              <w:t>2</w:t>
            </w:r>
          </w:p>
          <w:p>
            <w:pPr>
              <w:spacing w:line="280" w:lineRule="exact"/>
              <w:rPr>
                <w:rFonts w:ascii="宋体" w:hAnsi="宋体" w:cs="宋体"/>
                <w:szCs w:val="21"/>
              </w:rPr>
            </w:pPr>
            <w:r>
              <w:rPr>
                <w:szCs w:val="21"/>
              </w:rPr>
              <w:t>O</w:t>
            </w:r>
            <w:r>
              <w:rPr>
                <w:rFonts w:ascii="宋体" w:hAnsi="宋体" w:cs="宋体"/>
                <w:szCs w:val="21"/>
              </w:rPr>
              <w:t>6.1.2</w:t>
            </w:r>
          </w:p>
        </w:tc>
        <w:tc>
          <w:tcPr>
            <w:tcW w:w="10004" w:type="dxa"/>
            <w:vAlign w:val="center"/>
          </w:tcPr>
          <w:p>
            <w:pPr>
              <w:spacing w:line="280" w:lineRule="exact"/>
              <w:ind w:firstLine="420" w:firstLineChars="200"/>
              <w:rPr>
                <w:szCs w:val="21"/>
              </w:rPr>
            </w:pPr>
            <w:r>
              <w:rPr>
                <w:rFonts w:hint="eastAsia"/>
                <w:szCs w:val="21"/>
              </w:rPr>
              <w:t>1)提供《环境因素识别与评价管理程序》用以指导进行环境因素的识别、登记评价，以确定重要环境因素以及对环境因素的定期更新，环境因素的识别和确定考虑生命周期观点。</w:t>
            </w:r>
          </w:p>
          <w:p>
            <w:pPr>
              <w:rPr>
                <w:szCs w:val="21"/>
              </w:rPr>
            </w:pPr>
            <w:r>
              <w:rPr>
                <w:rFonts w:hint="eastAsia"/>
                <w:szCs w:val="21"/>
              </w:rPr>
              <w:t>提供了《环境因素识别和评价表》，识别的环境因素标明时态、状态和对环境的影响；经查阅识别出对在生产区域的活动中产生的复印机废墨粉的排放、废打印纸的废弃、废旧荧光灯管的废弃、生活污水的排放、食物、食油消耗、油烟的排放等环境因素及考虑到环境管理体系发生变更时可能产生的环境因素。编制：缪哲芳、张玉坤、章翔、李建国、孙丽恩、盛梁斌；审批：施英虎；日期：</w:t>
            </w:r>
            <w:r>
              <w:rPr>
                <w:szCs w:val="21"/>
              </w:rPr>
              <w:t>202</w:t>
            </w:r>
            <w:r>
              <w:rPr>
                <w:rFonts w:hint="eastAsia"/>
                <w:szCs w:val="21"/>
                <w:lang w:val="en-US" w:eastAsia="zh-CN"/>
              </w:rPr>
              <w:t>1</w:t>
            </w:r>
            <w:r>
              <w:rPr>
                <w:szCs w:val="21"/>
              </w:rPr>
              <w:t>.6.1</w:t>
            </w:r>
            <w:r>
              <w:rPr>
                <w:rFonts w:hint="eastAsia"/>
                <w:szCs w:val="21"/>
              </w:rPr>
              <w:t>。</w:t>
            </w:r>
          </w:p>
          <w:p>
            <w:pPr>
              <w:spacing w:line="280" w:lineRule="exact"/>
              <w:ind w:firstLine="420" w:firstLineChars="200"/>
              <w:rPr>
                <w:szCs w:val="21"/>
              </w:rPr>
            </w:pPr>
            <w:r>
              <w:rPr>
                <w:rFonts w:hint="eastAsia"/>
                <w:szCs w:val="21"/>
              </w:rPr>
              <w:t>重要环境因素由办公室统计综合评分方法确定重要环境因素，提供了“重要环境因素清单”：本部门的重要环境因素：</w:t>
            </w:r>
          </w:p>
          <w:p>
            <w:pPr>
              <w:pStyle w:val="14"/>
              <w:numPr>
                <w:ilvl w:val="0"/>
                <w:numId w:val="1"/>
              </w:numPr>
              <w:spacing w:line="280" w:lineRule="exact"/>
              <w:ind w:firstLineChars="0"/>
              <w:rPr>
                <w:szCs w:val="21"/>
              </w:rPr>
            </w:pPr>
            <w:r>
              <w:rPr>
                <w:rFonts w:hint="eastAsia"/>
                <w:szCs w:val="21"/>
              </w:rPr>
              <w:t>噪声的排放：车间生产设备发出的噪声；场内的运输车、工具车等车辆运输作业时的噪声；</w:t>
            </w:r>
          </w:p>
          <w:p>
            <w:pPr>
              <w:pStyle w:val="14"/>
              <w:numPr>
                <w:ilvl w:val="0"/>
                <w:numId w:val="1"/>
              </w:numPr>
              <w:spacing w:line="280" w:lineRule="exact"/>
              <w:ind w:firstLineChars="0"/>
              <w:rPr>
                <w:szCs w:val="21"/>
              </w:rPr>
            </w:pPr>
            <w:r>
              <w:rPr>
                <w:rFonts w:hint="eastAsia"/>
                <w:szCs w:val="21"/>
              </w:rPr>
              <w:t>废水的排放：生活废水的排放；</w:t>
            </w:r>
          </w:p>
          <w:p>
            <w:pPr>
              <w:pStyle w:val="14"/>
              <w:numPr>
                <w:ilvl w:val="0"/>
                <w:numId w:val="1"/>
              </w:numPr>
              <w:spacing w:line="280" w:lineRule="exact"/>
              <w:ind w:firstLineChars="0"/>
              <w:rPr>
                <w:szCs w:val="21"/>
              </w:rPr>
            </w:pPr>
            <w:r>
              <w:rPr>
                <w:rFonts w:hint="eastAsia"/>
                <w:szCs w:val="21"/>
              </w:rPr>
              <w:t>废气的排放：油漆、油烟废气的排放；抛丸粉尘、焊接烟气的排放；</w:t>
            </w:r>
          </w:p>
          <w:p>
            <w:pPr>
              <w:pStyle w:val="14"/>
              <w:numPr>
                <w:ilvl w:val="0"/>
                <w:numId w:val="1"/>
              </w:numPr>
              <w:spacing w:line="280" w:lineRule="exact"/>
              <w:ind w:firstLineChars="0"/>
              <w:rPr>
                <w:szCs w:val="21"/>
              </w:rPr>
            </w:pPr>
            <w:r>
              <w:rPr>
                <w:rFonts w:hint="eastAsia"/>
                <w:szCs w:val="21"/>
              </w:rPr>
              <w:t>资源的消耗：生产用电、水等的消耗；办公用电、办公用品等的消耗；</w:t>
            </w:r>
          </w:p>
          <w:p>
            <w:pPr>
              <w:pStyle w:val="14"/>
              <w:numPr>
                <w:ilvl w:val="0"/>
                <w:numId w:val="1"/>
              </w:numPr>
              <w:spacing w:line="280" w:lineRule="exact"/>
              <w:ind w:firstLineChars="0"/>
              <w:rPr>
                <w:szCs w:val="21"/>
              </w:rPr>
            </w:pPr>
            <w:r>
              <w:rPr>
                <w:rFonts w:hint="eastAsia"/>
                <w:szCs w:val="21"/>
              </w:rPr>
              <w:t>潜在火灾事故的发生：办公室的易燃物品管理不慎，吸烟等明火引发的火灾；车间和仓库包装材料等易燃品管理不慎引发的火灾；电器短路火灾的发生；化学品管理不善引发的火灾；</w:t>
            </w:r>
          </w:p>
          <w:p>
            <w:pPr>
              <w:pStyle w:val="14"/>
              <w:numPr>
                <w:ilvl w:val="0"/>
                <w:numId w:val="1"/>
              </w:numPr>
              <w:spacing w:line="280" w:lineRule="exact"/>
              <w:ind w:firstLineChars="0"/>
              <w:rPr>
                <w:szCs w:val="21"/>
              </w:rPr>
            </w:pPr>
            <w:r>
              <w:rPr>
                <w:rFonts w:hint="eastAsia"/>
                <w:szCs w:val="21"/>
              </w:rPr>
              <w:t>危废弃物的排放：设备维修后含油棉纱布、含油配件的处置，废旧灯管、电池废弃、废油漆桶、废活性炭、漆渣处置；车间和仓库的废化学品和包装物的排放。</w:t>
            </w:r>
          </w:p>
          <w:p>
            <w:pPr>
              <w:spacing w:line="280" w:lineRule="exact"/>
              <w:ind w:firstLine="420" w:firstLineChars="200"/>
              <w:rPr>
                <w:szCs w:val="21"/>
              </w:rPr>
            </w:pPr>
            <w:r>
              <w:rPr>
                <w:rFonts w:hint="eastAsia"/>
                <w:szCs w:val="21"/>
              </w:rPr>
              <w:t>提供了针对重要环境因素，编制环境目标、指标及管理方案及实施一览表，内容包括：目标、指标、主要措施、责任部门、经费、时间要求等。编制：缪哲芳</w:t>
            </w:r>
            <w:r>
              <w:rPr>
                <w:szCs w:val="21"/>
              </w:rPr>
              <w:t xml:space="preserve">    </w:t>
            </w:r>
            <w:r>
              <w:rPr>
                <w:rFonts w:hint="eastAsia"/>
                <w:szCs w:val="21"/>
              </w:rPr>
              <w:t>审批：施英虎；日期：</w:t>
            </w:r>
            <w:r>
              <w:rPr>
                <w:szCs w:val="21"/>
              </w:rPr>
              <w:t>202</w:t>
            </w:r>
            <w:r>
              <w:rPr>
                <w:rFonts w:hint="eastAsia"/>
                <w:szCs w:val="21"/>
                <w:lang w:val="en-US" w:eastAsia="zh-CN"/>
              </w:rPr>
              <w:t>1</w:t>
            </w:r>
            <w:r>
              <w:rPr>
                <w:szCs w:val="21"/>
              </w:rPr>
              <w:t>.6.1</w:t>
            </w:r>
          </w:p>
          <w:p>
            <w:pPr>
              <w:spacing w:line="280" w:lineRule="exact"/>
              <w:ind w:firstLine="420" w:firstLineChars="200"/>
              <w:rPr>
                <w:szCs w:val="21"/>
              </w:rPr>
            </w:pPr>
          </w:p>
          <w:p>
            <w:pPr>
              <w:spacing w:line="280" w:lineRule="exact"/>
              <w:ind w:firstLine="420" w:firstLineChars="200"/>
              <w:rPr>
                <w:szCs w:val="21"/>
              </w:rPr>
            </w:pPr>
            <w:r>
              <w:rPr>
                <w:rFonts w:hint="eastAsia"/>
                <w:szCs w:val="21"/>
              </w:rPr>
              <w:t>2）提供了公司制定《危险源辨识与风险评价控制措施控制程序》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color w:val="000000"/>
                <w:szCs w:val="21"/>
              </w:rPr>
            </w:pPr>
            <w:r>
              <w:rPr>
                <w:rFonts w:hint="eastAsia"/>
                <w:szCs w:val="21"/>
              </w:rPr>
              <w:t>提供了《危险源风险辨识和评价一览表》，对</w:t>
            </w:r>
            <w:r>
              <w:rPr>
                <w:color w:val="000000"/>
                <w:szCs w:val="21"/>
              </w:rPr>
              <w:t>PSA制氮装置、制氧装置、压缩空气净化设备的设计、制造</w:t>
            </w:r>
            <w:r>
              <w:rPr>
                <w:rFonts w:hint="eastAsia"/>
                <w:szCs w:val="21"/>
              </w:rPr>
              <w:t>活动及场所产生的危险源辨识并进行风险评价，以</w:t>
            </w:r>
            <w:r>
              <w:rPr>
                <w:rFonts w:hint="eastAsia"/>
                <w:color w:val="000000"/>
                <w:szCs w:val="21"/>
              </w:rPr>
              <w:t>确定控制措施，经查阅已辨识出</w:t>
            </w:r>
            <w:r>
              <w:rPr>
                <w:rFonts w:hint="eastAsia"/>
                <w:color w:val="000000"/>
                <w:szCs w:val="21"/>
                <w:lang w:val="en-US" w:eastAsia="zh-CN"/>
              </w:rPr>
              <w:t>生产喷漆产生的化学危害、抛丸粉尘危险、电焊废气危害、电弧光危害、车间机械伤害、</w:t>
            </w:r>
            <w:r>
              <w:rPr>
                <w:rFonts w:hint="eastAsia"/>
                <w:color w:val="000000"/>
                <w:szCs w:val="21"/>
              </w:rPr>
              <w:t>电源插座漏电、液化气泄漏、用电系统接地不符合要求、食物中毒、烫伤等情况产生的人身伤害、火灾、触电等危险因素，所识别的危险源基本符合。编制：缪哲芳</w:t>
            </w:r>
            <w:r>
              <w:rPr>
                <w:color w:val="000000"/>
                <w:szCs w:val="21"/>
              </w:rPr>
              <w:t xml:space="preserve">    </w:t>
            </w:r>
            <w:r>
              <w:rPr>
                <w:rFonts w:hint="eastAsia"/>
                <w:color w:val="000000"/>
                <w:szCs w:val="21"/>
              </w:rPr>
              <w:t>审批：施英虎；日期：</w:t>
            </w:r>
            <w:r>
              <w:rPr>
                <w:color w:val="000000"/>
                <w:szCs w:val="21"/>
              </w:rPr>
              <w:t>2020.6.1</w:t>
            </w:r>
            <w:r>
              <w:rPr>
                <w:rFonts w:hint="eastAsia"/>
                <w:color w:val="000000"/>
                <w:szCs w:val="21"/>
              </w:rPr>
              <w:t>。</w:t>
            </w:r>
          </w:p>
          <w:p>
            <w:pPr>
              <w:spacing w:line="280" w:lineRule="exact"/>
              <w:ind w:firstLine="420" w:firstLineChars="200"/>
              <w:rPr>
                <w:szCs w:val="21"/>
              </w:rPr>
            </w:pPr>
            <w:r>
              <w:rPr>
                <w:rFonts w:hint="eastAsia"/>
                <w:color w:val="000000"/>
                <w:szCs w:val="21"/>
              </w:rPr>
              <w:t>由各部门有管理经验的人员共同讨论、采用经验法确定不可接受</w:t>
            </w:r>
            <w:r>
              <w:rPr>
                <w:rFonts w:hint="eastAsia"/>
                <w:szCs w:val="21"/>
              </w:rPr>
              <w:t>风险。提供了《不可接受风险清单》涉及本部门的不可接受风险有：办公场所、车间、仓库等区域的易燃品的堆放；车间生产、物资装卸及运输等作业不当；压力容器设备老化；生产和办公用电；生产车间（噪声、油漆</w:t>
            </w:r>
            <w:r>
              <w:rPr>
                <w:rFonts w:hint="eastAsia"/>
                <w:color w:val="000000"/>
                <w:szCs w:val="21"/>
                <w:lang w:val="en-US" w:eastAsia="zh-CN"/>
              </w:rPr>
              <w:t>、废气、电弧光等</w:t>
            </w:r>
            <w:r>
              <w:rPr>
                <w:rFonts w:hint="eastAsia"/>
                <w:szCs w:val="21"/>
              </w:rPr>
              <w:t>）职业病伤害等</w:t>
            </w:r>
            <w:r>
              <w:rPr>
                <w:szCs w:val="21"/>
              </w:rPr>
              <w:t>6</w:t>
            </w:r>
            <w:r>
              <w:rPr>
                <w:rFonts w:hint="eastAsia"/>
                <w:szCs w:val="21"/>
              </w:rPr>
              <w:t>项不可接受风险；针对不可接受风险编制了职业健康安全目标与管理方案，内容包括：目标、指标、主要措施、责任部门、经费、时间要求等。</w:t>
            </w:r>
            <w:r>
              <w:rPr>
                <w:rFonts w:hint="eastAsia"/>
                <w:color w:val="000000"/>
                <w:szCs w:val="21"/>
              </w:rPr>
              <w:t>编</w:t>
            </w:r>
            <w:r>
              <w:rPr>
                <w:rFonts w:hint="eastAsia"/>
                <w:szCs w:val="21"/>
              </w:rPr>
              <w:t>制：缪哲芳</w:t>
            </w:r>
            <w:r>
              <w:rPr>
                <w:szCs w:val="21"/>
              </w:rPr>
              <w:t xml:space="preserve">  </w:t>
            </w:r>
            <w:r>
              <w:rPr>
                <w:rFonts w:hint="eastAsia"/>
                <w:szCs w:val="21"/>
              </w:rPr>
              <w:t>审批：施英虎；日期：</w:t>
            </w:r>
            <w:r>
              <w:rPr>
                <w:szCs w:val="21"/>
              </w:rPr>
              <w:t>202</w:t>
            </w:r>
            <w:r>
              <w:rPr>
                <w:rFonts w:hint="eastAsia"/>
                <w:szCs w:val="21"/>
                <w:lang w:val="en-US" w:eastAsia="zh-CN"/>
              </w:rPr>
              <w:t>1</w:t>
            </w:r>
            <w:r>
              <w:rPr>
                <w:szCs w:val="21"/>
              </w:rPr>
              <w:t>.6.1</w:t>
            </w:r>
            <w:r>
              <w:rPr>
                <w:rFonts w:hint="eastAsia"/>
                <w:szCs w:val="21"/>
              </w:rPr>
              <w:t>。</w:t>
            </w:r>
          </w:p>
        </w:tc>
        <w:tc>
          <w:tcPr>
            <w:tcW w:w="1585" w:type="dxa"/>
          </w:tcPr>
          <w:p>
            <w:pPr>
              <w:spacing w:line="360" w:lineRule="auto"/>
              <w:rPr>
                <w:rFonts w:hint="default" w:eastAsiaTheme="minorEastAsia"/>
                <w:sz w:val="21"/>
                <w:szCs w:val="21"/>
                <w:highlight w:val="none"/>
                <w:lang w:val="en-US" w:eastAsia="zh-CN"/>
              </w:rPr>
            </w:pPr>
            <w:r>
              <w:rPr>
                <w:rFonts w:hint="eastAsia" w:eastAsiaTheme="minorEastAsia"/>
                <w:sz w:val="21"/>
                <w:szCs w:val="21"/>
                <w:highlight w:val="none"/>
                <w:lang w:val="en-US" w:eastAsia="zh-CN"/>
              </w:rPr>
              <w:t>OK</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合规义务</w:t>
            </w:r>
          </w:p>
        </w:tc>
        <w:tc>
          <w:tcPr>
            <w:tcW w:w="998" w:type="dxa"/>
          </w:tcPr>
          <w:p>
            <w:pPr>
              <w:spacing w:line="280" w:lineRule="exact"/>
              <w:rPr>
                <w:szCs w:val="21"/>
              </w:rPr>
            </w:pPr>
            <w:r>
              <w:rPr>
                <w:rFonts w:hint="eastAsia"/>
                <w:szCs w:val="21"/>
              </w:rPr>
              <w:t>E</w:t>
            </w:r>
            <w:r>
              <w:rPr>
                <w:szCs w:val="21"/>
              </w:rPr>
              <w:t>O</w:t>
            </w:r>
            <w:r>
              <w:rPr>
                <w:rFonts w:hint="eastAsia"/>
                <w:szCs w:val="21"/>
              </w:rPr>
              <w:t xml:space="preserve"> 6</w:t>
            </w:r>
            <w:r>
              <w:rPr>
                <w:szCs w:val="21"/>
              </w:rPr>
              <w:t>.1.3</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办公室按照公司统一安排，负责牵头做好编制《合规性评价控制程序》，并对合规义务和合规性评价进行了管理。公司建立、实施并保持程序来识别与公司的活动、产品和服务有关的法律、法规和其它要求，并建立获取这些要求的渠道。确定适用的法律、法规和其它要求如何运用到公司的活动、产品和服务以及相关的环境因素和风险因素。</w:t>
            </w:r>
          </w:p>
          <w:p>
            <w:pPr>
              <w:jc w:val="lef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查所提供的环境和职业健康安全所涉及的《法律法规合规性评价表》，基本涵盖所涉及的各相关方及生产所涉及的相关环境和职业健康安全活动。明确了对应的公司活动，对适用性、合规性等进行了评价，如</w:t>
            </w:r>
            <w:r>
              <w:rPr>
                <w:rFonts w:hint="eastAsia"/>
              </w:rPr>
              <w:t>中华人民共和国安全生产法、中华人民共和国固体废物污染环境防治法（修正）</w:t>
            </w:r>
            <w:r>
              <w:rPr>
                <w:rFonts w:hint="eastAsia" w:ascii="宋体" w:hAnsi="宋体" w:cs="宋体"/>
                <w:szCs w:val="21"/>
              </w:rPr>
              <w:t>、中华人民共和国大气污染防治法实施细则、等相关适用的法律法规和当地的规则制度，明确了适用的公司活动在管理服务过程中产品的固废分类、危险固废贮存和处理要求，评价结果为符合。</w:t>
            </w:r>
          </w:p>
          <w:p>
            <w:pPr>
              <w:spacing w:line="280" w:lineRule="exact"/>
              <w:ind w:firstLine="420" w:firstLineChars="200"/>
              <w:rPr>
                <w:rFonts w:ascii="宋体" w:hAnsi="宋体" w:cs="宋体"/>
                <w:szCs w:val="21"/>
              </w:rPr>
            </w:pPr>
            <w:r>
              <w:rPr>
                <w:rFonts w:hint="eastAsia" w:ascii="宋体" w:hAnsi="宋体" w:cs="宋体"/>
                <w:szCs w:val="21"/>
              </w:rPr>
              <w:t>提供了《合规性评价报告》通过对环境、职业健康安全法律法规的其他要求执行情况，体系运行至今无违反环境、职业健康的法律法规的条款，适用的环境因素、危险源的法律法规均无变化或作废现象，满足要求。</w:t>
            </w:r>
          </w:p>
        </w:tc>
        <w:tc>
          <w:tcPr>
            <w:tcW w:w="1585" w:type="dxa"/>
          </w:tcPr>
          <w:p>
            <w:pPr>
              <w:spacing w:line="360" w:lineRule="auto"/>
              <w:rPr>
                <w:rFonts w:hint="default" w:eastAsiaTheme="minorEastAsia"/>
                <w:sz w:val="21"/>
                <w:szCs w:val="21"/>
                <w:highlight w:val="none"/>
                <w:lang w:val="en-US" w:eastAsia="zh-CN"/>
              </w:rPr>
            </w:pPr>
            <w:r>
              <w:rPr>
                <w:rFonts w:hint="eastAsia" w:eastAsiaTheme="minorEastAsia"/>
                <w:sz w:val="21"/>
                <w:szCs w:val="21"/>
                <w:highlight w:val="none"/>
                <w:lang w:val="en-US" w:eastAsia="zh-CN"/>
              </w:rPr>
              <w:t>OK</w:t>
            </w: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440" w:lineRule="exact"/>
              <w:jc w:val="left"/>
              <w:rPr>
                <w:sz w:val="24"/>
                <w:szCs w:val="24"/>
              </w:rPr>
            </w:pPr>
            <w:r>
              <w:rPr>
                <w:rFonts w:hint="eastAsia"/>
                <w:sz w:val="24"/>
                <w:szCs w:val="24"/>
              </w:rPr>
              <w:t>措施的策划</w:t>
            </w:r>
          </w:p>
        </w:tc>
        <w:tc>
          <w:tcPr>
            <w:tcW w:w="998" w:type="dxa"/>
          </w:tcPr>
          <w:p>
            <w:pPr>
              <w:spacing w:line="280" w:lineRule="exact"/>
              <w:rPr>
                <w:szCs w:val="21"/>
              </w:rPr>
            </w:pPr>
            <w:r>
              <w:rPr>
                <w:rFonts w:hint="eastAsia"/>
                <w:szCs w:val="21"/>
              </w:rPr>
              <w:t>E</w:t>
            </w:r>
            <w:r>
              <w:rPr>
                <w:szCs w:val="21"/>
              </w:rPr>
              <w:t>O</w:t>
            </w:r>
            <w:r>
              <w:rPr>
                <w:rFonts w:hint="eastAsia"/>
                <w:szCs w:val="21"/>
              </w:rPr>
              <w:t>6.1.4</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kern w:val="0"/>
                <w:szCs w:val="21"/>
              </w:rPr>
              <w:t>在制定环境目标指标时，</w:t>
            </w:r>
            <w:r>
              <w:rPr>
                <w:rFonts w:hint="eastAsia" w:ascii="宋体" w:hAnsi="宋体" w:cs="宋体"/>
                <w:szCs w:val="21"/>
              </w:rPr>
              <w:t>综合办负责制定环境、职业健康安全目标及管理方案，总经理</w:t>
            </w:r>
            <w:r>
              <w:rPr>
                <w:rFonts w:hint="eastAsia"/>
                <w:szCs w:val="21"/>
              </w:rPr>
              <w:t>施英虎</w:t>
            </w:r>
            <w:r>
              <w:rPr>
                <w:rFonts w:hint="eastAsia" w:ascii="宋体" w:hAnsi="宋体" w:cs="宋体"/>
                <w:szCs w:val="21"/>
              </w:rPr>
              <w:t>负责批准。环境、职业健康安全管理方案中明确为实现环境、职业健康安全目标和指标的责任部门；规定实现环境、职业健康安全目标和指标的时间；具体措施和经费预算；都由总经理批准。环境、职业健康安全管理方案的实施，办公室每半年对方案实施情况进行检查跟踪，向总经理报告；一般在管理评审之前对环境、职业健康安全目标及管理方案由综合办对其进行评审，并将完成情况以书面形式呈报管理者代表，以便提交管理评审。</w:t>
            </w:r>
          </w:p>
          <w:p>
            <w:pPr>
              <w:spacing w:line="280" w:lineRule="exact"/>
              <w:ind w:firstLine="420" w:firstLineChars="200"/>
              <w:rPr>
                <w:rFonts w:ascii="宋体" w:hAnsi="宋体" w:cs="宋体"/>
                <w:szCs w:val="21"/>
              </w:rPr>
            </w:pPr>
            <w:r>
              <w:rPr>
                <w:rFonts w:hint="eastAsia" w:ascii="宋体" w:hAnsi="宋体" w:cs="宋体"/>
                <w:szCs w:val="21"/>
              </w:rPr>
              <w:t>根据重要环境因素和不可接受因素，确定相关负责部门和岗位，制定管理方案。</w:t>
            </w:r>
          </w:p>
        </w:tc>
        <w:tc>
          <w:tcPr>
            <w:tcW w:w="1585" w:type="dxa"/>
          </w:tcPr>
          <w:p>
            <w:pPr>
              <w:spacing w:line="360" w:lineRule="auto"/>
              <w:rPr>
                <w:rFonts w:hint="default" w:eastAsiaTheme="minorEastAsia"/>
                <w:sz w:val="21"/>
                <w:szCs w:val="21"/>
                <w:highlight w:val="none"/>
                <w:lang w:val="en-US" w:eastAsia="zh-CN"/>
              </w:rPr>
            </w:pPr>
            <w:r>
              <w:rPr>
                <w:rFonts w:hint="eastAsia" w:eastAsiaTheme="minorEastAsia"/>
                <w:sz w:val="21"/>
                <w:szCs w:val="21"/>
                <w:highlight w:val="none"/>
                <w:lang w:val="en-US" w:eastAsia="zh-CN"/>
              </w:rPr>
              <w:t>OK</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szCs w:val="21"/>
              </w:rPr>
            </w:pPr>
            <w:r>
              <w:rPr>
                <w:rFonts w:hint="eastAsia"/>
                <w:szCs w:val="21"/>
              </w:rPr>
              <w:t>运行策划和控制</w:t>
            </w:r>
          </w:p>
          <w:p>
            <w:pPr>
              <w:spacing w:line="280" w:lineRule="exact"/>
              <w:rPr>
                <w:b/>
                <w:szCs w:val="21"/>
              </w:rPr>
            </w:pPr>
          </w:p>
        </w:tc>
        <w:tc>
          <w:tcPr>
            <w:tcW w:w="998" w:type="dxa"/>
          </w:tcPr>
          <w:p>
            <w:pPr>
              <w:spacing w:line="280" w:lineRule="exact"/>
              <w:rPr>
                <w:b/>
                <w:szCs w:val="21"/>
              </w:rPr>
            </w:pPr>
            <w:r>
              <w:rPr>
                <w:rFonts w:hint="eastAsia"/>
                <w:szCs w:val="21"/>
              </w:rPr>
              <w:t>E</w:t>
            </w:r>
            <w:r>
              <w:rPr>
                <w:szCs w:val="21"/>
              </w:rPr>
              <w:t>O</w:t>
            </w:r>
            <w:r>
              <w:rPr>
                <w:rFonts w:hint="eastAsia"/>
                <w:szCs w:val="21"/>
              </w:rPr>
              <w:t>8.1</w:t>
            </w:r>
          </w:p>
        </w:tc>
        <w:tc>
          <w:tcPr>
            <w:tcW w:w="10004" w:type="dxa"/>
          </w:tcPr>
          <w:p>
            <w:pPr>
              <w:tabs>
                <w:tab w:val="left" w:pos="840"/>
                <w:tab w:val="left" w:pos="3560"/>
              </w:tabs>
              <w:ind w:firstLine="420" w:firstLineChars="200"/>
              <w:rPr>
                <w:rFonts w:hint="eastAsia" w:ascii="宋体" w:hAnsi="宋体"/>
                <w:szCs w:val="21"/>
              </w:rPr>
            </w:pPr>
            <w:r>
              <w:rPr>
                <w:rFonts w:hint="eastAsia" w:ascii="宋体" w:hAnsi="宋体"/>
                <w:szCs w:val="21"/>
              </w:rPr>
              <w:t>制定了《环境影响运行控制程序》《职业健康安全运行控制程序》，对识别出的环境因素和危险源的运行控制要求作出了规定，基本符合要求。</w:t>
            </w:r>
          </w:p>
          <w:p>
            <w:pPr>
              <w:tabs>
                <w:tab w:val="left" w:pos="840"/>
                <w:tab w:val="left" w:pos="3560"/>
              </w:tabs>
              <w:ind w:firstLine="420" w:firstLineChars="200"/>
              <w:rPr>
                <w:rFonts w:hint="default" w:ascii="宋体" w:hAnsi="宋体"/>
                <w:szCs w:val="21"/>
                <w:lang w:val="en-US" w:eastAsia="zh-CN"/>
              </w:rPr>
            </w:pPr>
            <w:r>
              <w:rPr>
                <w:rFonts w:hint="eastAsia" w:ascii="宋体" w:hAnsi="宋体"/>
                <w:szCs w:val="21"/>
                <w:lang w:val="en-US" w:eastAsia="zh-CN"/>
              </w:rPr>
              <w:t>提供车间、办公区域、仓库的检查记录：</w:t>
            </w:r>
            <w:r>
              <w:rPr>
                <w:rFonts w:hint="eastAsia" w:ascii="宋体" w:hAnsi="宋体" w:eastAsia="黑体"/>
                <w:sz w:val="24"/>
              </w:rPr>
              <w:t>EOR-8.1-06</w:t>
            </w:r>
            <w:r>
              <w:rPr>
                <w:rFonts w:hint="eastAsia" w:ascii="宋体" w:hAnsi="宋体"/>
                <w:szCs w:val="21"/>
                <w:lang w:val="en-US" w:eastAsia="zh-CN"/>
              </w:rPr>
              <w:t>《</w:t>
            </w:r>
            <w:r>
              <w:rPr>
                <w:rFonts w:hint="eastAsia" w:ascii="宋体" w:hAnsi="宋体"/>
                <w:szCs w:val="21"/>
              </w:rPr>
              <w:t>体系运行检查表</w:t>
            </w:r>
            <w:r>
              <w:rPr>
                <w:rFonts w:hint="eastAsia" w:ascii="宋体" w:hAnsi="宋体"/>
                <w:szCs w:val="21"/>
                <w:lang w:val="en-US" w:eastAsia="zh-CN"/>
              </w:rPr>
              <w:t>》，项目包括重要环境因素内容；控制情况如下：</w:t>
            </w:r>
          </w:p>
          <w:p>
            <w:pPr>
              <w:tabs>
                <w:tab w:val="left" w:pos="840"/>
                <w:tab w:val="left" w:pos="3560"/>
              </w:tabs>
              <w:rPr>
                <w:rFonts w:ascii="宋体" w:hAnsi="宋体"/>
                <w:szCs w:val="21"/>
              </w:rPr>
            </w:pPr>
            <w:r>
              <w:rPr>
                <w:rFonts w:hint="eastAsia" w:ascii="宋体" w:hAnsi="宋体"/>
                <w:szCs w:val="21"/>
                <w:lang w:val="en-US" w:eastAsia="zh-CN"/>
              </w:rPr>
              <w:t>一、</w:t>
            </w:r>
            <w:r>
              <w:rPr>
                <w:rFonts w:hint="eastAsia" w:ascii="宋体" w:hAnsi="宋体"/>
                <w:szCs w:val="21"/>
              </w:rPr>
              <w:t>生活污水运行控制情况：</w:t>
            </w:r>
          </w:p>
          <w:p>
            <w:pPr>
              <w:numPr>
                <w:ilvl w:val="0"/>
                <w:numId w:val="0"/>
              </w:numPr>
              <w:rPr>
                <w:rFonts w:ascii="宋体" w:hAnsi="宋体"/>
                <w:szCs w:val="21"/>
              </w:rPr>
            </w:pPr>
            <w:r>
              <w:rPr>
                <w:rFonts w:hint="eastAsia"/>
                <w:szCs w:val="21"/>
              </w:rPr>
              <w:t>主要生活废水</w:t>
            </w:r>
            <w:r>
              <w:rPr>
                <w:rFonts w:hint="eastAsia"/>
                <w:szCs w:val="21"/>
                <w:lang w:val="en-US" w:eastAsia="zh-CN"/>
              </w:rPr>
              <w:t>（含食堂）</w:t>
            </w:r>
            <w:r>
              <w:rPr>
                <w:rFonts w:hint="eastAsia"/>
                <w:szCs w:val="21"/>
              </w:rPr>
              <w:t>排入政府污水管网统一处理。</w:t>
            </w:r>
          </w:p>
          <w:p>
            <w:pPr>
              <w:tabs>
                <w:tab w:val="left" w:pos="840"/>
                <w:tab w:val="left" w:pos="3560"/>
              </w:tabs>
              <w:rPr>
                <w:rFonts w:ascii="宋体" w:hAnsi="宋体"/>
                <w:szCs w:val="21"/>
              </w:rPr>
            </w:pPr>
            <w:r>
              <w:rPr>
                <w:rFonts w:hint="eastAsia" w:ascii="宋体" w:hAnsi="宋体"/>
                <w:szCs w:val="21"/>
                <w:lang w:val="en-US" w:eastAsia="zh-CN"/>
              </w:rPr>
              <w:t>二、</w:t>
            </w:r>
            <w:r>
              <w:rPr>
                <w:rFonts w:hint="eastAsia" w:ascii="宋体" w:hAnsi="宋体"/>
                <w:szCs w:val="21"/>
              </w:rPr>
              <w:t>固废处理：</w:t>
            </w:r>
          </w:p>
          <w:p>
            <w:pPr>
              <w:snapToGrid w:val="0"/>
              <w:ind w:firstLine="420" w:firstLineChars="200"/>
              <w:jc w:val="left"/>
              <w:rPr>
                <w:rFonts w:hint="eastAsia" w:ascii="宋体" w:hAnsi="宋体"/>
                <w:szCs w:val="21"/>
              </w:rPr>
            </w:pPr>
            <w:r>
              <w:rPr>
                <w:rFonts w:hint="eastAsia" w:ascii="宋体" w:hAnsi="宋体"/>
                <w:szCs w:val="21"/>
              </w:rPr>
              <w:t>生活垃圾</w:t>
            </w:r>
            <w:r>
              <w:rPr>
                <w:rFonts w:hint="eastAsia" w:ascii="宋体" w:hAnsi="宋体"/>
                <w:szCs w:val="21"/>
                <w:lang w:val="en-US" w:eastAsia="zh-CN"/>
              </w:rPr>
              <w:t>经垃圾分类，</w:t>
            </w:r>
            <w:r>
              <w:rPr>
                <w:rFonts w:hint="eastAsia" w:ascii="宋体" w:hAnsi="宋体"/>
                <w:szCs w:val="21"/>
              </w:rPr>
              <w:t>集中交由当地环卫部门处置；废硒鼓、墨盒、废灯泡、废电池等由办公室负责收集</w:t>
            </w:r>
            <w:r>
              <w:rPr>
                <w:rFonts w:hint="eastAsia" w:ascii="宋体" w:hAnsi="宋体"/>
                <w:szCs w:val="21"/>
                <w:lang w:eastAsia="zh-CN"/>
              </w:rPr>
              <w:t>，</w:t>
            </w:r>
            <w:r>
              <w:rPr>
                <w:rFonts w:hint="eastAsia" w:ascii="宋体" w:hAnsi="宋体"/>
                <w:szCs w:val="21"/>
                <w:lang w:val="en-US" w:eastAsia="zh-CN"/>
              </w:rPr>
              <w:t>由供方回收，缺少处置记录</w:t>
            </w:r>
            <w:r>
              <w:rPr>
                <w:rFonts w:hint="eastAsia" w:ascii="宋体" w:hAnsi="宋体"/>
                <w:szCs w:val="21"/>
              </w:rPr>
              <w:t>；废包装纸箱、废纸等卖于废品回收站；生活垃圾由环卫部门处理；废灯管、废电池量、硒鼓目前量较少，暂存在办公室，未转移。生产废物主要为废过滤棉、废油漆桶、废活性炭，</w:t>
            </w:r>
            <w:r>
              <w:rPr>
                <w:rFonts w:hint="eastAsia"/>
                <w:szCs w:val="21"/>
              </w:rPr>
              <w:t>与</w:t>
            </w:r>
            <w:r>
              <w:rPr>
                <w:rFonts w:hint="eastAsia"/>
                <w:szCs w:val="21"/>
                <w:lang w:val="en-US" w:eastAsia="zh-CN"/>
              </w:rPr>
              <w:t>浙江奔乐环保技术</w:t>
            </w:r>
            <w:r>
              <w:rPr>
                <w:rFonts w:hint="eastAsia"/>
                <w:szCs w:val="21"/>
              </w:rPr>
              <w:t>有限公司签订处置协议，统一处置</w:t>
            </w:r>
            <w:r>
              <w:rPr>
                <w:rFonts w:hint="eastAsia"/>
                <w:szCs w:val="21"/>
                <w:lang w:eastAsia="zh-CN"/>
              </w:rPr>
              <w:t>。</w:t>
            </w:r>
          </w:p>
          <w:p>
            <w:pPr>
              <w:numPr>
                <w:ilvl w:val="0"/>
                <w:numId w:val="2"/>
              </w:numPr>
              <w:rPr>
                <w:rFonts w:hint="eastAsia"/>
                <w:szCs w:val="21"/>
              </w:rPr>
            </w:pPr>
            <w:r>
              <w:rPr>
                <w:rFonts w:hint="eastAsia"/>
                <w:szCs w:val="21"/>
              </w:rPr>
              <w:t>废气管控：</w:t>
            </w:r>
          </w:p>
          <w:p>
            <w:pPr>
              <w:numPr>
                <w:ilvl w:val="0"/>
                <w:numId w:val="3"/>
              </w:numPr>
              <w:rPr>
                <w:rFonts w:hint="eastAsia"/>
                <w:szCs w:val="21"/>
              </w:rPr>
            </w:pPr>
            <w:r>
              <w:rPr>
                <w:rFonts w:hint="eastAsia"/>
                <w:szCs w:val="21"/>
              </w:rPr>
              <w:t>办公现场基本无废气排放。</w:t>
            </w:r>
          </w:p>
          <w:p>
            <w:pPr>
              <w:numPr>
                <w:ilvl w:val="0"/>
                <w:numId w:val="3"/>
              </w:numPr>
              <w:rPr>
                <w:rFonts w:ascii="宋体" w:hAnsi="宋体"/>
                <w:szCs w:val="21"/>
              </w:rPr>
            </w:pPr>
            <w:r>
              <w:rPr>
                <w:rFonts w:hint="eastAsia"/>
                <w:szCs w:val="21"/>
              </w:rPr>
              <w:t>厂区产生的油漆废弃通过漆雾过滤净化器采用“过滤棉+活性炭吸附”处理后1</w:t>
            </w:r>
            <w:r>
              <w:rPr>
                <w:szCs w:val="21"/>
              </w:rPr>
              <w:t>5</w:t>
            </w:r>
            <w:r>
              <w:rPr>
                <w:rFonts w:hint="eastAsia"/>
                <w:szCs w:val="21"/>
              </w:rPr>
              <w:t>m排气筒排放，焊接废气车间内无组织排放，食堂油烟废气经油烟净化处理后排放。</w:t>
            </w:r>
            <w:r>
              <w:rPr>
                <w:rFonts w:hint="eastAsia" w:ascii="宋体" w:hAnsi="宋体"/>
                <w:szCs w:val="21"/>
              </w:rPr>
              <w:t>公司联系相关部门对厂界废气排放进行了检测，提供了检验检测报告，2020年</w:t>
            </w:r>
            <w:r>
              <w:rPr>
                <w:rFonts w:ascii="宋体" w:hAnsi="宋体"/>
                <w:szCs w:val="21"/>
              </w:rPr>
              <w:t>10</w:t>
            </w:r>
            <w:r>
              <w:rPr>
                <w:rFonts w:hint="eastAsia" w:ascii="宋体" w:hAnsi="宋体"/>
                <w:szCs w:val="21"/>
              </w:rPr>
              <w:t>月</w:t>
            </w:r>
            <w:r>
              <w:rPr>
                <w:rFonts w:ascii="宋体" w:hAnsi="宋体"/>
                <w:szCs w:val="21"/>
              </w:rPr>
              <w:t>9</w:t>
            </w:r>
            <w:r>
              <w:rPr>
                <w:rFonts w:hint="eastAsia" w:ascii="宋体" w:hAnsi="宋体"/>
                <w:szCs w:val="21"/>
              </w:rPr>
              <w:t>日对厂界工业废气进行了检测，检测单位：江苏苏环工程质量检测有限公司；</w:t>
            </w:r>
            <w:r>
              <w:rPr>
                <w:rFonts w:hint="eastAsia" w:ascii="宋体" w:hAnsi="宋体"/>
                <w:szCs w:val="21"/>
                <w:lang w:val="en-US" w:eastAsia="zh-CN"/>
              </w:rPr>
              <w:t>达标排放；</w:t>
            </w:r>
          </w:p>
          <w:p>
            <w:pPr>
              <w:numPr>
                <w:ilvl w:val="0"/>
                <w:numId w:val="3"/>
              </w:numPr>
              <w:rPr>
                <w:rFonts w:ascii="宋体" w:hAnsi="宋体"/>
                <w:szCs w:val="21"/>
              </w:rPr>
            </w:pPr>
            <w:r>
              <w:rPr>
                <w:rFonts w:hint="eastAsia" w:ascii="宋体" w:hAnsi="宋体"/>
                <w:szCs w:val="21"/>
                <w:lang w:val="en-US" w:eastAsia="zh-CN"/>
              </w:rPr>
              <w:t>提供非道路柴油移动机械（叉车）排气烟度检验报告单，检测结果为三类合格；</w:t>
            </w:r>
          </w:p>
          <w:p>
            <w:pPr>
              <w:numPr>
                <w:ilvl w:val="0"/>
                <w:numId w:val="3"/>
              </w:numPr>
              <w:rPr>
                <w:rFonts w:ascii="宋体" w:hAnsi="宋体"/>
                <w:szCs w:val="21"/>
              </w:rPr>
            </w:pPr>
            <w:r>
              <w:rPr>
                <w:rFonts w:hint="eastAsia" w:ascii="宋体" w:hAnsi="宋体"/>
                <w:szCs w:val="21"/>
                <w:lang w:val="en-US" w:eastAsia="zh-CN"/>
              </w:rPr>
              <w:t>喷漆车间废气使用“漆雾过滤净化器”设施收集并经烟冲有组织排放；</w:t>
            </w:r>
          </w:p>
          <w:p>
            <w:pPr>
              <w:numPr>
                <w:ilvl w:val="0"/>
                <w:numId w:val="3"/>
              </w:numPr>
              <w:rPr>
                <w:rFonts w:ascii="宋体" w:hAnsi="宋体"/>
                <w:szCs w:val="21"/>
              </w:rPr>
            </w:pPr>
            <w:r>
              <w:rPr>
                <w:rFonts w:hint="eastAsia" w:ascii="宋体" w:hAnsi="宋体"/>
                <w:szCs w:val="21"/>
                <w:lang w:val="en-US" w:eastAsia="zh-CN"/>
              </w:rPr>
              <w:t>喷漆车间作业人员配带防毒面具；抛丸和电焊作业人员配带口罩；</w:t>
            </w:r>
          </w:p>
          <w:p>
            <w:pPr>
              <w:numPr>
                <w:ilvl w:val="0"/>
                <w:numId w:val="0"/>
              </w:numPr>
              <w:rPr>
                <w:rFonts w:ascii="宋体" w:hAnsi="宋体"/>
                <w:szCs w:val="21"/>
              </w:rPr>
            </w:pPr>
            <w:r>
              <w:rPr>
                <w:rFonts w:hint="eastAsia" w:ascii="宋体" w:hAnsi="宋体"/>
                <w:szCs w:val="21"/>
                <w:lang w:val="en-US" w:eastAsia="zh-CN"/>
              </w:rPr>
              <w:t>三、</w:t>
            </w:r>
            <w:r>
              <w:rPr>
                <w:rFonts w:hint="eastAsia" w:ascii="宋体" w:hAnsi="宋体"/>
                <w:szCs w:val="21"/>
              </w:rPr>
              <w:t>噪声控制：</w:t>
            </w:r>
          </w:p>
          <w:p>
            <w:pPr>
              <w:rPr>
                <w:rFonts w:hint="eastAsia" w:ascii="宋体" w:hAnsi="宋体"/>
                <w:szCs w:val="21"/>
              </w:rPr>
            </w:pPr>
            <w:r>
              <w:rPr>
                <w:rFonts w:hint="eastAsia" w:ascii="宋体" w:hAnsi="宋体"/>
                <w:szCs w:val="21"/>
                <w:lang w:val="en-US" w:eastAsia="zh-CN"/>
              </w:rPr>
              <w:t>1、</w:t>
            </w:r>
            <w:r>
              <w:rPr>
                <w:rFonts w:hint="eastAsia" w:ascii="宋体" w:hAnsi="宋体"/>
                <w:szCs w:val="21"/>
              </w:rPr>
              <w:t>办公过程中打印复印、空调运转产生噪声，影响不明显；生产过程中噪声</w:t>
            </w:r>
            <w:r>
              <w:rPr>
                <w:rFonts w:hint="eastAsia" w:ascii="宋体" w:hAnsi="宋体"/>
                <w:szCs w:val="21"/>
                <w:lang w:val="en-US" w:eastAsia="zh-CN"/>
              </w:rPr>
              <w:t>主要为机加工设备产生，通过设备保养和加强设备润滑控制</w:t>
            </w:r>
            <w:r>
              <w:rPr>
                <w:rFonts w:hint="eastAsia" w:ascii="宋体" w:hAnsi="宋体"/>
                <w:szCs w:val="21"/>
              </w:rPr>
              <w:t>；公司联系相关部门对厂界噪声进行了检测，提供了检验检测报告，2020年</w:t>
            </w:r>
            <w:r>
              <w:rPr>
                <w:rFonts w:ascii="宋体" w:hAnsi="宋体"/>
                <w:szCs w:val="21"/>
              </w:rPr>
              <w:t>10</w:t>
            </w:r>
            <w:r>
              <w:rPr>
                <w:rFonts w:hint="eastAsia" w:ascii="宋体" w:hAnsi="宋体"/>
                <w:szCs w:val="21"/>
              </w:rPr>
              <w:t>月</w:t>
            </w:r>
            <w:r>
              <w:rPr>
                <w:rFonts w:ascii="宋体" w:hAnsi="宋体"/>
                <w:szCs w:val="21"/>
              </w:rPr>
              <w:t>9</w:t>
            </w:r>
            <w:r>
              <w:rPr>
                <w:rFonts w:hint="eastAsia" w:ascii="宋体" w:hAnsi="宋体"/>
                <w:szCs w:val="21"/>
              </w:rPr>
              <w:t>日对厂界噪声进行了检测，噪声检测达标，检测单位：江苏苏环工程质量检测有限公司；</w:t>
            </w:r>
          </w:p>
          <w:p>
            <w:pPr>
              <w:numPr>
                <w:ilvl w:val="0"/>
                <w:numId w:val="0"/>
              </w:numPr>
              <w:rPr>
                <w:rFonts w:hint="eastAsia" w:ascii="宋体" w:hAnsi="宋体"/>
                <w:szCs w:val="21"/>
              </w:rPr>
            </w:pPr>
            <w:r>
              <w:rPr>
                <w:rFonts w:hint="eastAsia" w:ascii="宋体" w:hAnsi="宋体"/>
                <w:szCs w:val="21"/>
                <w:lang w:val="en-US" w:eastAsia="zh-CN"/>
              </w:rPr>
              <w:t>四、能源消耗：</w:t>
            </w:r>
          </w:p>
          <w:p>
            <w:pPr>
              <w:numPr>
                <w:ilvl w:val="0"/>
                <w:numId w:val="0"/>
              </w:numPr>
              <w:ind w:firstLine="420"/>
              <w:rPr>
                <w:rFonts w:hint="default" w:ascii="宋体" w:hAnsi="宋体"/>
                <w:szCs w:val="21"/>
                <w:lang w:val="en-US" w:eastAsia="zh-CN"/>
              </w:rPr>
            </w:pPr>
            <w:r>
              <w:rPr>
                <w:rFonts w:hint="eastAsia" w:ascii="宋体" w:hAnsi="宋体"/>
                <w:szCs w:val="21"/>
                <w:lang w:val="en-US" w:eastAsia="zh-CN"/>
              </w:rPr>
              <w:t>加强节能培训和用电、用水检查；</w:t>
            </w:r>
          </w:p>
          <w:p>
            <w:pPr>
              <w:numPr>
                <w:ilvl w:val="0"/>
                <w:numId w:val="4"/>
              </w:numPr>
              <w:rPr>
                <w:rFonts w:hint="eastAsia" w:ascii="宋体" w:hAnsi="宋体"/>
                <w:szCs w:val="21"/>
                <w:lang w:val="en-US" w:eastAsia="zh-CN"/>
              </w:rPr>
            </w:pPr>
            <w:r>
              <w:rPr>
                <w:rFonts w:hint="eastAsia" w:ascii="宋体" w:hAnsi="宋体"/>
                <w:szCs w:val="21"/>
                <w:lang w:val="en-US" w:eastAsia="zh-CN"/>
              </w:rPr>
              <w:t>空压机房：</w:t>
            </w:r>
          </w:p>
          <w:p>
            <w:pPr>
              <w:numPr>
                <w:ilvl w:val="0"/>
                <w:numId w:val="0"/>
              </w:numPr>
              <w:ind w:firstLine="420"/>
              <w:rPr>
                <w:rFonts w:hint="default" w:ascii="宋体" w:hAnsi="宋体"/>
                <w:szCs w:val="21"/>
                <w:lang w:val="en-US" w:eastAsia="zh-CN"/>
              </w:rPr>
            </w:pPr>
            <w:r>
              <w:rPr>
                <w:rFonts w:hint="eastAsia" w:ascii="宋体" w:hAnsi="宋体"/>
                <w:szCs w:val="21"/>
                <w:lang w:val="en-US" w:eastAsia="zh-CN"/>
              </w:rPr>
              <w:t>空压机房设置空压机、储气罐；机房独立密封；提供储气罐安全阀校验报告（杭州市特种设备检测研究院，2021年7月06日，结论合格）和压力表检定证书（杭州市富阳区质量计量监测中心，2021年7月21日，结论合格）；</w:t>
            </w:r>
          </w:p>
          <w:p>
            <w:pPr>
              <w:numPr>
                <w:ilvl w:val="0"/>
                <w:numId w:val="4"/>
              </w:numPr>
              <w:ind w:left="0" w:leftChars="0" w:firstLine="0" w:firstLineChars="0"/>
              <w:rPr>
                <w:rFonts w:hint="eastAsia" w:ascii="宋体" w:hAnsi="宋体"/>
                <w:szCs w:val="21"/>
                <w:lang w:val="en-US" w:eastAsia="zh-CN"/>
              </w:rPr>
            </w:pPr>
            <w:r>
              <w:rPr>
                <w:rFonts w:hint="eastAsia" w:ascii="宋体" w:hAnsi="宋体"/>
                <w:szCs w:val="21"/>
                <w:lang w:val="en-US" w:eastAsia="zh-CN"/>
              </w:rPr>
              <w:t>配电房：</w:t>
            </w:r>
          </w:p>
          <w:p>
            <w:pPr>
              <w:numPr>
                <w:ilvl w:val="0"/>
                <w:numId w:val="0"/>
              </w:numPr>
              <w:ind w:leftChars="0" w:firstLine="420"/>
              <w:rPr>
                <w:rFonts w:hint="default" w:ascii="宋体" w:hAnsi="宋体"/>
                <w:szCs w:val="21"/>
                <w:lang w:val="en-US" w:eastAsia="zh-CN"/>
              </w:rPr>
            </w:pPr>
            <w:r>
              <w:rPr>
                <w:rFonts w:hint="eastAsia" w:ascii="宋体" w:hAnsi="宋体"/>
                <w:szCs w:val="21"/>
                <w:lang w:val="en-US" w:eastAsia="zh-CN"/>
              </w:rPr>
              <w:t>独立房间，现场查</w:t>
            </w:r>
            <w:r>
              <w:rPr>
                <w:rFonts w:hint="eastAsia" w:ascii="宋体" w:hAnsi="宋体"/>
                <w:szCs w:val="21"/>
              </w:rPr>
              <w:t>房门常闭，门上有：闲人免进、高压危险、有电危险等警示标识；周围墙上贴有电工岗位职责。</w:t>
            </w:r>
            <w:r>
              <w:rPr>
                <w:rFonts w:hint="eastAsia" w:ascii="宋体" w:hAnsi="宋体"/>
                <w:szCs w:val="21"/>
                <w:lang w:val="en-US" w:eastAsia="zh-CN"/>
              </w:rPr>
              <w:t>未配置灭火器、绝缘工具（绝缘棒、绝缘手套等）。</w:t>
            </w:r>
            <w:r>
              <w:rPr>
                <w:rFonts w:hint="eastAsia" w:ascii="宋体" w:hAnsi="宋体"/>
                <w:szCs w:val="21"/>
              </w:rPr>
              <w:t>配电房门常闭，门上有：闲人免进、高压危险、有电危险等警示标识；周围墙上贴有电工岗位职责。</w:t>
            </w:r>
          </w:p>
          <w:p>
            <w:pPr>
              <w:numPr>
                <w:ilvl w:val="0"/>
                <w:numId w:val="4"/>
              </w:numPr>
              <w:ind w:left="0" w:leftChars="0" w:firstLine="0" w:firstLineChars="0"/>
              <w:rPr>
                <w:rFonts w:hint="eastAsia" w:ascii="宋体" w:hAnsi="宋体"/>
                <w:szCs w:val="21"/>
                <w:lang w:val="en-US" w:eastAsia="zh-CN"/>
              </w:rPr>
            </w:pPr>
            <w:r>
              <w:rPr>
                <w:rFonts w:hint="eastAsia" w:ascii="宋体" w:hAnsi="宋体"/>
                <w:szCs w:val="21"/>
                <w:lang w:val="en-US" w:eastAsia="zh-CN"/>
              </w:rPr>
              <w:t>危险固废仓库：</w:t>
            </w:r>
          </w:p>
          <w:p>
            <w:pPr>
              <w:numPr>
                <w:ilvl w:val="0"/>
                <w:numId w:val="0"/>
              </w:numPr>
              <w:ind w:leftChars="0"/>
              <w:rPr>
                <w:rFonts w:hint="default" w:ascii="宋体" w:hAnsi="宋体"/>
                <w:szCs w:val="21"/>
                <w:lang w:val="en-US" w:eastAsia="zh-CN"/>
              </w:rPr>
            </w:pPr>
            <w:r>
              <w:rPr>
                <w:rFonts w:hint="eastAsia" w:ascii="宋体" w:hAnsi="宋体"/>
                <w:szCs w:val="21"/>
                <w:lang w:val="en-US" w:eastAsia="zh-CN"/>
              </w:rPr>
              <w:t xml:space="preserve">    现场查看，仓库门上锁专人保管；门上贴明显“危险废物贮存场所”标识；内存有：油漆桶、废活性炭、废过滤棉；进出仓库有登记；封面贴危险告知卡；  </w:t>
            </w:r>
          </w:p>
          <w:p>
            <w:pPr>
              <w:rPr>
                <w:rFonts w:ascii="宋体" w:hAnsi="宋体"/>
                <w:szCs w:val="21"/>
              </w:rPr>
            </w:pPr>
            <w:r>
              <w:rPr>
                <w:rFonts w:hint="eastAsia" w:ascii="宋体" w:hAnsi="宋体"/>
                <w:szCs w:val="21"/>
              </w:rPr>
              <w:t>公司定期组织人员对环境、安全运行情况进行检查：</w:t>
            </w:r>
          </w:p>
          <w:p>
            <w:pPr>
              <w:ind w:firstLine="420" w:firstLineChars="200"/>
              <w:rPr>
                <w:rFonts w:ascii="宋体" w:hAnsi="宋体"/>
                <w:szCs w:val="21"/>
              </w:rPr>
            </w:pPr>
            <w:r>
              <w:rPr>
                <w:rFonts w:hint="eastAsia" w:ascii="宋体" w:hAnsi="宋体"/>
                <w:szCs w:val="21"/>
              </w:rPr>
              <w:t>查见安全、环境检查记录，检查项目包括：现场库房工件摆放整齐、隔离明显、标识齐全、地面卫生清洁；生产工具摆事实放整齐、地面卫生清洁无杂物；设备、工具箱清洁、不乱放杂物；电器设置齐全、无乱接线现象等；</w:t>
            </w:r>
          </w:p>
          <w:p>
            <w:pPr>
              <w:ind w:firstLine="420" w:firstLineChars="200"/>
              <w:rPr>
                <w:rFonts w:hint="default" w:ascii="宋体" w:hAnsi="宋体" w:eastAsia="宋体"/>
                <w:szCs w:val="21"/>
                <w:lang w:val="en-US" w:eastAsia="zh-CN"/>
              </w:rPr>
            </w:pPr>
            <w:r>
              <w:rPr>
                <w:rFonts w:hint="eastAsia" w:ascii="宋体" w:hAnsi="宋体"/>
                <w:szCs w:val="21"/>
              </w:rPr>
              <w:t>公司定期给员工发放劳动防护用品，提供了劳动防护用品发放记录。查202</w:t>
            </w:r>
            <w:r>
              <w:rPr>
                <w:rFonts w:hint="eastAsia" w:ascii="宋体" w:hAnsi="宋体"/>
                <w:szCs w:val="21"/>
                <w:lang w:val="en-US" w:eastAsia="zh-CN"/>
              </w:rPr>
              <w:t>1</w:t>
            </w:r>
            <w:r>
              <w:rPr>
                <w:rFonts w:hint="eastAsia" w:ascii="宋体" w:hAnsi="宋体"/>
                <w:szCs w:val="21"/>
              </w:rPr>
              <w:t>发放了工作服、皮手套、线手套、防毒口罩等，发放耳塞。</w:t>
            </w:r>
            <w:r>
              <w:rPr>
                <w:rFonts w:hint="eastAsia" w:ascii="宋体" w:hAnsi="宋体"/>
                <w:szCs w:val="21"/>
                <w:lang w:val="en-US" w:eastAsia="zh-CN"/>
              </w:rPr>
              <w:t>未提供涉及职业危害员工的体检报告，开具了不符合。</w:t>
            </w:r>
          </w:p>
          <w:p>
            <w:pPr>
              <w:snapToGrid w:val="0"/>
              <w:ind w:firstLine="420" w:firstLineChars="200"/>
              <w:jc w:val="left"/>
              <w:rPr>
                <w:rFonts w:ascii="宋体" w:hAnsi="宋体"/>
                <w:szCs w:val="21"/>
              </w:rPr>
            </w:pPr>
            <w:r>
              <w:rPr>
                <w:rFonts w:hint="eastAsia" w:ascii="宋体" w:hAnsi="宋体"/>
                <w:szCs w:val="21"/>
              </w:rPr>
              <w:t>办公照明采用的是节能灯，做到人走灯管，纸张正反使用。</w:t>
            </w:r>
          </w:p>
          <w:p>
            <w:pPr>
              <w:snapToGrid w:val="0"/>
              <w:ind w:firstLine="420" w:firstLineChars="200"/>
              <w:jc w:val="left"/>
              <w:rPr>
                <w:rFonts w:ascii="宋体" w:hAnsi="宋体"/>
                <w:szCs w:val="21"/>
              </w:rPr>
            </w:pPr>
            <w:r>
              <w:rPr>
                <w:rFonts w:hint="eastAsia" w:ascii="宋体" w:hAnsi="宋体"/>
                <w:szCs w:val="21"/>
              </w:rPr>
              <w:t>日常工作要求员工使用电脑时间不要太久，减少电磁辐射；复印机放置在通风的地域，以减少废气对人体的伤害；长时间不用电脑及打印设备时及时关机；</w:t>
            </w:r>
          </w:p>
          <w:p>
            <w:pPr>
              <w:snapToGrid w:val="0"/>
              <w:ind w:firstLine="420" w:firstLineChars="200"/>
              <w:jc w:val="left"/>
              <w:rPr>
                <w:rFonts w:ascii="宋体" w:hAnsi="宋体"/>
                <w:szCs w:val="21"/>
              </w:rPr>
            </w:pPr>
            <w:r>
              <w:rPr>
                <w:rFonts w:hint="eastAsia" w:ascii="宋体" w:hAnsi="宋体"/>
                <w:szCs w:val="21"/>
              </w:rPr>
              <w:t>办公室使用的开关、插座都采用三相四线制接地，接地完好，发现电器设备不能正常使用和开关、插座破损时及时通知电工进行维修。 电器设备都安装有漏电保护开关。配电盒内均安装有漏电保护开关。</w:t>
            </w:r>
          </w:p>
        </w:tc>
        <w:tc>
          <w:tcPr>
            <w:tcW w:w="1585" w:type="dxa"/>
          </w:tcPr>
          <w:p>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b/>
                <w:szCs w:val="21"/>
              </w:rPr>
            </w:pPr>
            <w:r>
              <w:rPr>
                <w:rFonts w:hint="eastAsia" w:ascii="宋体" w:hAnsi="宋体" w:cs="宋体"/>
                <w:szCs w:val="21"/>
              </w:rPr>
              <w:t>应急响应和准备</w:t>
            </w:r>
          </w:p>
        </w:tc>
        <w:tc>
          <w:tcPr>
            <w:tcW w:w="998" w:type="dxa"/>
          </w:tcPr>
          <w:p>
            <w:pPr>
              <w:spacing w:line="280" w:lineRule="exact"/>
              <w:rPr>
                <w:szCs w:val="21"/>
              </w:rPr>
            </w:pPr>
            <w:r>
              <w:rPr>
                <w:rFonts w:hint="eastAsia"/>
                <w:szCs w:val="21"/>
              </w:rPr>
              <w:t>E</w:t>
            </w:r>
            <w:r>
              <w:rPr>
                <w:szCs w:val="21"/>
              </w:rPr>
              <w:t>O</w:t>
            </w:r>
            <w:r>
              <w:rPr>
                <w:rFonts w:hint="eastAsia"/>
                <w:szCs w:val="21"/>
              </w:rPr>
              <w:t>8.2</w:t>
            </w:r>
          </w:p>
        </w:tc>
        <w:tc>
          <w:tcPr>
            <w:tcW w:w="10004" w:type="dxa"/>
            <w:vAlign w:val="center"/>
          </w:tcPr>
          <w:p>
            <w:pPr>
              <w:rPr>
                <w:szCs w:val="21"/>
              </w:rPr>
            </w:pPr>
            <w:r>
              <w:rPr>
                <w:rFonts w:hint="eastAsia"/>
                <w:szCs w:val="21"/>
              </w:rPr>
              <w:t>编制了《应急准备和响应控制程序》，查看内容基本符合要求。</w:t>
            </w:r>
          </w:p>
          <w:p>
            <w:pPr>
              <w:rPr>
                <w:szCs w:val="21"/>
              </w:rPr>
            </w:pPr>
            <w:r>
              <w:rPr>
                <w:rFonts w:hint="eastAsia"/>
                <w:szCs w:val="21"/>
              </w:rPr>
              <w:t>策划成立了义务消防队，包括盛梁斌、缪哲芳、张玉坤、章翔、李建国、孙立恩、钱小静；应急预案包括紧急应变处理流程图、触电、火灾、有毒气体中毒、中暑应急预案等应急预案。通过以上评估，公司应急预案的制定基本合理。</w:t>
            </w:r>
          </w:p>
          <w:p>
            <w:pPr>
              <w:rPr>
                <w:szCs w:val="21"/>
              </w:rPr>
            </w:pPr>
            <w:r>
              <w:rPr>
                <w:rFonts w:hint="eastAsia"/>
                <w:szCs w:val="21"/>
              </w:rPr>
              <w:t>公司进行了消防灭火演练，查应急演练记录。提供了2</w:t>
            </w:r>
            <w:r>
              <w:rPr>
                <w:szCs w:val="21"/>
              </w:rPr>
              <w:t>02</w:t>
            </w:r>
            <w:r>
              <w:rPr>
                <w:rFonts w:hint="eastAsia"/>
                <w:szCs w:val="21"/>
                <w:lang w:val="en-US" w:eastAsia="zh-CN"/>
              </w:rPr>
              <w:t>1</w:t>
            </w:r>
            <w:r>
              <w:rPr>
                <w:szCs w:val="21"/>
              </w:rPr>
              <w:t>.</w:t>
            </w:r>
            <w:r>
              <w:rPr>
                <w:rFonts w:hint="eastAsia"/>
                <w:szCs w:val="21"/>
                <w:lang w:val="en-US" w:eastAsia="zh-CN"/>
              </w:rPr>
              <w:t>4</w:t>
            </w:r>
            <w:r>
              <w:rPr>
                <w:szCs w:val="21"/>
              </w:rPr>
              <w:t>.3</w:t>
            </w:r>
            <w:r>
              <w:rPr>
                <w:rFonts w:hint="eastAsia"/>
                <w:szCs w:val="21"/>
                <w:lang w:val="en-US" w:eastAsia="zh-CN"/>
              </w:rPr>
              <w:t>0</w:t>
            </w:r>
            <w:r>
              <w:rPr>
                <w:rFonts w:hint="eastAsia"/>
                <w:szCs w:val="21"/>
              </w:rPr>
              <w:t>消防灭火演练，参加人员包括总指挥施英虎，策划缪哲芳，员工张玉坤、章翔、李建国、孙丽恩、盛梁斌、钱小静等</w:t>
            </w:r>
            <w:r>
              <w:rPr>
                <w:szCs w:val="21"/>
              </w:rPr>
              <w:t>6</w:t>
            </w:r>
            <w:r>
              <w:rPr>
                <w:rFonts w:hint="eastAsia"/>
                <w:szCs w:val="21"/>
              </w:rPr>
              <w:t>名员工，记录了演练过程，存在的问题主要为要加强消防技能的的培训，普及全体员工的防火意识。并进行了总结评估。</w:t>
            </w:r>
          </w:p>
          <w:p>
            <w:pPr>
              <w:rPr>
                <w:szCs w:val="21"/>
              </w:rPr>
            </w:pPr>
            <w:r>
              <w:rPr>
                <w:rFonts w:hint="eastAsia"/>
                <w:szCs w:val="21"/>
              </w:rPr>
              <w:t>目前没有发生需响应的突发情况。应急管理基本符合要求要求。</w:t>
            </w:r>
          </w:p>
        </w:tc>
        <w:tc>
          <w:tcPr>
            <w:tcW w:w="1585" w:type="dxa"/>
          </w:tcPr>
          <w:p>
            <w:pPr>
              <w:spacing w:line="360" w:lineRule="auto"/>
              <w:rPr>
                <w:rFonts w:hint="default" w:eastAsiaTheme="minorEastAsia"/>
                <w:sz w:val="21"/>
                <w:szCs w:val="21"/>
                <w:highlight w:val="none"/>
                <w:lang w:val="en-US" w:eastAsia="zh-CN"/>
              </w:rPr>
            </w:pPr>
            <w:r>
              <w:rPr>
                <w:rFonts w:hint="eastAsia" w:eastAsiaTheme="minorEastAsia"/>
                <w:sz w:val="21"/>
                <w:szCs w:val="21"/>
                <w:highlight w:val="none"/>
                <w:lang w:val="en-US" w:eastAsia="zh-CN"/>
              </w:rPr>
              <w:t>OK</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280" w:lineRule="exact"/>
              <w:rPr>
                <w:rFonts w:ascii="宋体" w:hAnsi="宋体" w:cs="宋体"/>
                <w:szCs w:val="21"/>
              </w:rPr>
            </w:pPr>
            <w:r>
              <w:rPr>
                <w:rFonts w:hint="eastAsia" w:ascii="宋体" w:hAnsi="宋体" w:cs="宋体"/>
                <w:szCs w:val="21"/>
              </w:rPr>
              <w:t>合规评价</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E</w:t>
            </w:r>
            <w:r>
              <w:rPr>
                <w:szCs w:val="21"/>
              </w:rPr>
              <w:t>O9.1.2</w:t>
            </w:r>
          </w:p>
        </w:tc>
        <w:tc>
          <w:tcPr>
            <w:tcW w:w="10004" w:type="dxa"/>
            <w:vAlign w:val="center"/>
          </w:tcPr>
          <w:p>
            <w:pPr>
              <w:pStyle w:val="13"/>
              <w:spacing w:line="280" w:lineRule="exact"/>
              <w:rPr>
                <w:sz w:val="21"/>
                <w:szCs w:val="21"/>
              </w:rPr>
            </w:pPr>
            <w:r>
              <w:rPr>
                <w:rFonts w:hint="eastAsia"/>
                <w:sz w:val="21"/>
                <w:szCs w:val="21"/>
              </w:rPr>
              <w:t>公司制定了：《合规性评价控制程序》</w:t>
            </w:r>
          </w:p>
          <w:p>
            <w:pPr>
              <w:pStyle w:val="13"/>
              <w:spacing w:line="280" w:lineRule="exact"/>
              <w:rPr>
                <w:sz w:val="21"/>
                <w:szCs w:val="21"/>
              </w:rPr>
            </w:pPr>
            <w:r>
              <w:rPr>
                <w:rFonts w:hint="eastAsia"/>
                <w:sz w:val="21"/>
                <w:szCs w:val="21"/>
              </w:rPr>
              <w:t>提供“法律法规合规性评价表”，经对公司适用的6</w:t>
            </w:r>
            <w:r>
              <w:rPr>
                <w:sz w:val="21"/>
                <w:szCs w:val="21"/>
              </w:rPr>
              <w:t>6</w:t>
            </w:r>
            <w:r>
              <w:rPr>
                <w:rFonts w:hint="eastAsia"/>
                <w:sz w:val="21"/>
                <w:szCs w:val="21"/>
              </w:rPr>
              <w:t>个安全法律法规和其他要求和6</w:t>
            </w:r>
            <w:r>
              <w:rPr>
                <w:sz w:val="21"/>
                <w:szCs w:val="21"/>
              </w:rPr>
              <w:t>1</w:t>
            </w:r>
            <w:r>
              <w:rPr>
                <w:rFonts w:hint="eastAsia"/>
                <w:sz w:val="21"/>
                <w:szCs w:val="21"/>
              </w:rPr>
              <w:t>个环境法律法规和其他要求进行评价，基本符合要求。</w:t>
            </w:r>
          </w:p>
          <w:p>
            <w:pPr>
              <w:pStyle w:val="13"/>
              <w:spacing w:line="280" w:lineRule="exact"/>
              <w:rPr>
                <w:sz w:val="21"/>
                <w:szCs w:val="21"/>
              </w:rPr>
            </w:pPr>
            <w:r>
              <w:rPr>
                <w:rFonts w:hint="eastAsia"/>
                <w:sz w:val="21"/>
                <w:szCs w:val="21"/>
              </w:rPr>
              <w:t>以上评价人：缪哲芳、张玉坤、章翔、李建国、孙丽恩、盛梁斌，评价日期：202</w:t>
            </w:r>
            <w:r>
              <w:rPr>
                <w:rFonts w:hint="eastAsia"/>
                <w:sz w:val="21"/>
                <w:szCs w:val="21"/>
                <w:lang w:val="en-US" w:eastAsia="zh-CN"/>
              </w:rPr>
              <w:t>1</w:t>
            </w:r>
            <w:r>
              <w:rPr>
                <w:rFonts w:hint="eastAsia"/>
                <w:sz w:val="21"/>
                <w:szCs w:val="21"/>
              </w:rPr>
              <w:t>年6月</w:t>
            </w:r>
            <w:r>
              <w:rPr>
                <w:sz w:val="21"/>
                <w:szCs w:val="21"/>
              </w:rPr>
              <w:t>10</w:t>
            </w:r>
            <w:r>
              <w:rPr>
                <w:rFonts w:hint="eastAsia"/>
                <w:sz w:val="21"/>
                <w:szCs w:val="21"/>
              </w:rPr>
              <w:t>日。</w:t>
            </w:r>
          </w:p>
        </w:tc>
        <w:tc>
          <w:tcPr>
            <w:tcW w:w="1585" w:type="dxa"/>
          </w:tcPr>
          <w:p/>
        </w:tc>
      </w:tr>
    </w:tbl>
    <w:p>
      <w:bookmarkStart w:id="0" w:name="_GoBack"/>
      <w:bookmarkEnd w:id="0"/>
      <w:r>
        <w:ptab w:relativeTo="margin" w:alignment="center" w:leader="none"/>
      </w:r>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HAAPML+ºÚÌå">
    <w:altName w:val="宋体"/>
    <w:panose1 w:val="00000000000000000000"/>
    <w:charset w:val="01"/>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94D080"/>
    <w:multiLevelType w:val="singleLevel"/>
    <w:tmpl w:val="A394D080"/>
    <w:lvl w:ilvl="0" w:tentative="0">
      <w:start w:val="1"/>
      <w:numFmt w:val="decimal"/>
      <w:suff w:val="nothing"/>
      <w:lvlText w:val="%1、"/>
      <w:lvlJc w:val="left"/>
    </w:lvl>
  </w:abstractNum>
  <w:abstractNum w:abstractNumId="1">
    <w:nsid w:val="C0C2A5FB"/>
    <w:multiLevelType w:val="singleLevel"/>
    <w:tmpl w:val="C0C2A5FB"/>
    <w:lvl w:ilvl="0" w:tentative="0">
      <w:start w:val="5"/>
      <w:numFmt w:val="chineseCounting"/>
      <w:suff w:val="nothing"/>
      <w:lvlText w:val="%1、"/>
      <w:lvlJc w:val="left"/>
      <w:rPr>
        <w:rFonts w:hint="eastAsia"/>
      </w:rPr>
    </w:lvl>
  </w:abstractNum>
  <w:abstractNum w:abstractNumId="2">
    <w:nsid w:val="132F2329"/>
    <w:multiLevelType w:val="multilevel"/>
    <w:tmpl w:val="132F232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3146A1F"/>
    <w:multiLevelType w:val="singleLevel"/>
    <w:tmpl w:val="23146A1F"/>
    <w:lvl w:ilvl="0" w:tentative="0">
      <w:start w:val="2"/>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11ABE"/>
    <w:rsid w:val="00060133"/>
    <w:rsid w:val="00076C21"/>
    <w:rsid w:val="00077C88"/>
    <w:rsid w:val="0009139D"/>
    <w:rsid w:val="000A75BA"/>
    <w:rsid w:val="000B0CD5"/>
    <w:rsid w:val="000B6409"/>
    <w:rsid w:val="000F14E3"/>
    <w:rsid w:val="00115E0C"/>
    <w:rsid w:val="00121BF2"/>
    <w:rsid w:val="0012349C"/>
    <w:rsid w:val="001311B9"/>
    <w:rsid w:val="00133E72"/>
    <w:rsid w:val="00140940"/>
    <w:rsid w:val="00140A69"/>
    <w:rsid w:val="0016036E"/>
    <w:rsid w:val="001937C7"/>
    <w:rsid w:val="001945D7"/>
    <w:rsid w:val="001956B8"/>
    <w:rsid w:val="001A05B6"/>
    <w:rsid w:val="001A3B63"/>
    <w:rsid w:val="001C57A3"/>
    <w:rsid w:val="001F0E7B"/>
    <w:rsid w:val="001F37CF"/>
    <w:rsid w:val="001F4963"/>
    <w:rsid w:val="002533F4"/>
    <w:rsid w:val="00273847"/>
    <w:rsid w:val="002871F4"/>
    <w:rsid w:val="00287457"/>
    <w:rsid w:val="002B36EC"/>
    <w:rsid w:val="002C22A6"/>
    <w:rsid w:val="002E29A0"/>
    <w:rsid w:val="002E55EA"/>
    <w:rsid w:val="002F05BD"/>
    <w:rsid w:val="003015FB"/>
    <w:rsid w:val="003273C2"/>
    <w:rsid w:val="003406B4"/>
    <w:rsid w:val="003445A0"/>
    <w:rsid w:val="00347C92"/>
    <w:rsid w:val="003541E0"/>
    <w:rsid w:val="00364D71"/>
    <w:rsid w:val="00382525"/>
    <w:rsid w:val="00384FEF"/>
    <w:rsid w:val="00397D3F"/>
    <w:rsid w:val="003C254E"/>
    <w:rsid w:val="003E434A"/>
    <w:rsid w:val="0042030E"/>
    <w:rsid w:val="00424A82"/>
    <w:rsid w:val="0043712F"/>
    <w:rsid w:val="004450A7"/>
    <w:rsid w:val="00470967"/>
    <w:rsid w:val="00471CE2"/>
    <w:rsid w:val="0047490C"/>
    <w:rsid w:val="004819AB"/>
    <w:rsid w:val="00497971"/>
    <w:rsid w:val="004B20B2"/>
    <w:rsid w:val="004D14C1"/>
    <w:rsid w:val="004D6FC5"/>
    <w:rsid w:val="004E6448"/>
    <w:rsid w:val="004E7665"/>
    <w:rsid w:val="004E7D7E"/>
    <w:rsid w:val="004F4E79"/>
    <w:rsid w:val="00503F34"/>
    <w:rsid w:val="005074C4"/>
    <w:rsid w:val="00507E17"/>
    <w:rsid w:val="005142C8"/>
    <w:rsid w:val="00516205"/>
    <w:rsid w:val="00532DE5"/>
    <w:rsid w:val="00551E35"/>
    <w:rsid w:val="0056074B"/>
    <w:rsid w:val="005607E3"/>
    <w:rsid w:val="00567182"/>
    <w:rsid w:val="005A2330"/>
    <w:rsid w:val="005A23B2"/>
    <w:rsid w:val="005B6C34"/>
    <w:rsid w:val="005D2531"/>
    <w:rsid w:val="00621EA2"/>
    <w:rsid w:val="006256EF"/>
    <w:rsid w:val="00643319"/>
    <w:rsid w:val="00646303"/>
    <w:rsid w:val="0066353B"/>
    <w:rsid w:val="00663A52"/>
    <w:rsid w:val="00672093"/>
    <w:rsid w:val="00672CC5"/>
    <w:rsid w:val="00680222"/>
    <w:rsid w:val="006842EC"/>
    <w:rsid w:val="006A03EA"/>
    <w:rsid w:val="006E4E1C"/>
    <w:rsid w:val="006F2650"/>
    <w:rsid w:val="006F2C8A"/>
    <w:rsid w:val="00713C1D"/>
    <w:rsid w:val="00715292"/>
    <w:rsid w:val="007469D5"/>
    <w:rsid w:val="0075560B"/>
    <w:rsid w:val="00756C63"/>
    <w:rsid w:val="00761387"/>
    <w:rsid w:val="00774749"/>
    <w:rsid w:val="007861D2"/>
    <w:rsid w:val="007B4E33"/>
    <w:rsid w:val="007C5A7D"/>
    <w:rsid w:val="007C6A31"/>
    <w:rsid w:val="007D3A58"/>
    <w:rsid w:val="007E6050"/>
    <w:rsid w:val="00814B16"/>
    <w:rsid w:val="008242EA"/>
    <w:rsid w:val="008265BB"/>
    <w:rsid w:val="008302CE"/>
    <w:rsid w:val="00834CE8"/>
    <w:rsid w:val="0085042B"/>
    <w:rsid w:val="008631F9"/>
    <w:rsid w:val="008667F0"/>
    <w:rsid w:val="008A1509"/>
    <w:rsid w:val="008B3B2F"/>
    <w:rsid w:val="008C01A2"/>
    <w:rsid w:val="008D2E87"/>
    <w:rsid w:val="008D3475"/>
    <w:rsid w:val="00912569"/>
    <w:rsid w:val="0092791F"/>
    <w:rsid w:val="00954D65"/>
    <w:rsid w:val="00955C0E"/>
    <w:rsid w:val="00976860"/>
    <w:rsid w:val="00986EF7"/>
    <w:rsid w:val="00991AEB"/>
    <w:rsid w:val="009977CF"/>
    <w:rsid w:val="009B1072"/>
    <w:rsid w:val="00A01526"/>
    <w:rsid w:val="00A30F85"/>
    <w:rsid w:val="00A52229"/>
    <w:rsid w:val="00A76F84"/>
    <w:rsid w:val="00A829BC"/>
    <w:rsid w:val="00A85D90"/>
    <w:rsid w:val="00A86196"/>
    <w:rsid w:val="00A94706"/>
    <w:rsid w:val="00AA5E08"/>
    <w:rsid w:val="00AB5CFD"/>
    <w:rsid w:val="00AC627D"/>
    <w:rsid w:val="00AE6698"/>
    <w:rsid w:val="00B007F3"/>
    <w:rsid w:val="00B03AA7"/>
    <w:rsid w:val="00B119B7"/>
    <w:rsid w:val="00B361C1"/>
    <w:rsid w:val="00B531A8"/>
    <w:rsid w:val="00B53B05"/>
    <w:rsid w:val="00B6507C"/>
    <w:rsid w:val="00C277AC"/>
    <w:rsid w:val="00C41F32"/>
    <w:rsid w:val="00C4272D"/>
    <w:rsid w:val="00C44388"/>
    <w:rsid w:val="00C60EB8"/>
    <w:rsid w:val="00C827AA"/>
    <w:rsid w:val="00C856E9"/>
    <w:rsid w:val="00C94573"/>
    <w:rsid w:val="00CA1BE3"/>
    <w:rsid w:val="00CD1E5C"/>
    <w:rsid w:val="00CD4ED7"/>
    <w:rsid w:val="00CD58BC"/>
    <w:rsid w:val="00D05DB2"/>
    <w:rsid w:val="00D6037A"/>
    <w:rsid w:val="00D937E0"/>
    <w:rsid w:val="00DE1A2C"/>
    <w:rsid w:val="00DE2FCE"/>
    <w:rsid w:val="00DF19AB"/>
    <w:rsid w:val="00E0114F"/>
    <w:rsid w:val="00E11BD3"/>
    <w:rsid w:val="00E17655"/>
    <w:rsid w:val="00E176B6"/>
    <w:rsid w:val="00E219A3"/>
    <w:rsid w:val="00E41911"/>
    <w:rsid w:val="00E556FE"/>
    <w:rsid w:val="00E707CA"/>
    <w:rsid w:val="00E944DC"/>
    <w:rsid w:val="00E97654"/>
    <w:rsid w:val="00EA2EA2"/>
    <w:rsid w:val="00EB084F"/>
    <w:rsid w:val="00EB1A5C"/>
    <w:rsid w:val="00EB2FC0"/>
    <w:rsid w:val="00EB6AAC"/>
    <w:rsid w:val="00ED41DC"/>
    <w:rsid w:val="00EE43A0"/>
    <w:rsid w:val="00EE6BAB"/>
    <w:rsid w:val="00F01F3E"/>
    <w:rsid w:val="00F05246"/>
    <w:rsid w:val="00F11424"/>
    <w:rsid w:val="00F13731"/>
    <w:rsid w:val="00F25903"/>
    <w:rsid w:val="00F43CC1"/>
    <w:rsid w:val="00F5455B"/>
    <w:rsid w:val="00F62C59"/>
    <w:rsid w:val="00FB5026"/>
    <w:rsid w:val="00FB6FAA"/>
    <w:rsid w:val="00FF0A51"/>
    <w:rsid w:val="00FF1D21"/>
    <w:rsid w:val="07622125"/>
    <w:rsid w:val="0A755CD1"/>
    <w:rsid w:val="109E13DA"/>
    <w:rsid w:val="11B844E6"/>
    <w:rsid w:val="13F974E4"/>
    <w:rsid w:val="194C19EF"/>
    <w:rsid w:val="1AE81CEF"/>
    <w:rsid w:val="1E9B5DC6"/>
    <w:rsid w:val="28215D92"/>
    <w:rsid w:val="316C7D62"/>
    <w:rsid w:val="37225134"/>
    <w:rsid w:val="377725D5"/>
    <w:rsid w:val="39FF374F"/>
    <w:rsid w:val="423011D5"/>
    <w:rsid w:val="453763C7"/>
    <w:rsid w:val="4DED56EF"/>
    <w:rsid w:val="51865C02"/>
    <w:rsid w:val="56843FA2"/>
    <w:rsid w:val="5A7C3893"/>
    <w:rsid w:val="611B0794"/>
    <w:rsid w:val="61DD75A1"/>
    <w:rsid w:val="62703523"/>
    <w:rsid w:val="654A775D"/>
    <w:rsid w:val="6EBD1508"/>
    <w:rsid w:val="747D06DB"/>
    <w:rsid w:val="76BC53BA"/>
    <w:rsid w:val="7DEB34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ind w:firstLine="883" w:firstLineChars="200"/>
    </w:pPr>
    <w:rPr>
      <w:rFonts w:ascii="宋体" w:hAnsi="宋体" w:eastAsia="宋体" w:cs="宋体"/>
      <w:sz w:val="28"/>
      <w:szCs w:val="28"/>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Char"/>
    <w:basedOn w:val="1"/>
    <w:qFormat/>
    <w:uiPriority w:val="0"/>
    <w:rPr>
      <w:rFonts w:ascii="仿宋_GB2312" w:eastAsia="仿宋_GB2312"/>
      <w:b/>
      <w:sz w:val="32"/>
      <w:szCs w:val="32"/>
    </w:rPr>
  </w:style>
  <w:style w:type="paragraph" w:customStyle="1" w:styleId="13">
    <w:name w:val="_Style 2"/>
    <w:basedOn w:val="1"/>
    <w:qFormat/>
    <w:uiPriority w:val="34"/>
    <w:pPr>
      <w:ind w:firstLine="420" w:firstLineChars="200"/>
    </w:pPr>
    <w:rPr>
      <w:rFonts w:ascii="Calibri" w:hAnsi="Calibri"/>
      <w:sz w:val="24"/>
      <w:szCs w:val="22"/>
    </w:rPr>
  </w:style>
  <w:style w:type="paragraph" w:styleId="14">
    <w:name w:val="List Paragraph"/>
    <w:basedOn w:val="1"/>
    <w:qFormat/>
    <w:uiPriority w:val="99"/>
    <w:pPr>
      <w:ind w:firstLine="420" w:firstLineChars="200"/>
    </w:pPr>
  </w:style>
  <w:style w:type="paragraph" w:customStyle="1" w:styleId="15">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564</Words>
  <Characters>3220</Characters>
  <Lines>26</Lines>
  <Paragraphs>7</Paragraphs>
  <TotalTime>4</TotalTime>
  <ScaleCrop>false</ScaleCrop>
  <LinksUpToDate>false</LinksUpToDate>
  <CharactersWithSpaces>3777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2020-11-08T11:25:00Z</dcterms:created>
  <dc:creator>微软用户</dc:creator>
  <cp:lastModifiedBy>伍光华</cp:lastModifiedBy>
  <dcterms:modified xsi:type="dcterms:W3CDTF">2021-11-19T08:28:59Z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92677BAB3BDB4F96B696C892BF327133</vt:lpwstr>
  </property>
</Properties>
</file>