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004" w:type="dxa"/>
            <w:vAlign w:val="center"/>
          </w:tcPr>
          <w:p>
            <w:pPr>
              <w:rPr>
                <w:sz w:val="21"/>
                <w:szCs w:val="21"/>
              </w:rPr>
            </w:pPr>
            <w:r>
              <w:rPr>
                <w:rFonts w:hint="eastAsia"/>
                <w:sz w:val="21"/>
                <w:szCs w:val="21"/>
              </w:rPr>
              <w:t>受审核部门：</w:t>
            </w:r>
            <w:r>
              <w:rPr>
                <w:rFonts w:hint="eastAsia"/>
                <w:sz w:val="21"/>
                <w:szCs w:val="21"/>
                <w:lang w:val="en-US" w:eastAsia="zh-CN"/>
              </w:rPr>
              <w:t>销售部</w:t>
            </w:r>
            <w:r>
              <w:rPr>
                <w:rFonts w:hint="eastAsia"/>
                <w:sz w:val="21"/>
                <w:szCs w:val="21"/>
              </w:rPr>
              <w:t xml:space="preserve"> </w:t>
            </w:r>
            <w:r>
              <w:rPr>
                <w:sz w:val="21"/>
                <w:szCs w:val="21"/>
              </w:rPr>
              <w:t xml:space="preserve">   </w:t>
            </w:r>
            <w:r>
              <w:rPr>
                <w:rFonts w:hint="eastAsia"/>
                <w:sz w:val="21"/>
                <w:szCs w:val="21"/>
                <w:lang w:val="en-US" w:eastAsia="zh-CN"/>
              </w:rPr>
              <w:t xml:space="preserve">  </w:t>
            </w:r>
            <w:r>
              <w:rPr>
                <w:rFonts w:hint="eastAsia"/>
                <w:sz w:val="21"/>
                <w:szCs w:val="21"/>
              </w:rPr>
              <w:t>主管领导：</w:t>
            </w:r>
            <w:r>
              <w:rPr>
                <w:rFonts w:hint="eastAsia" w:ascii="宋体" w:hAnsi="宋体"/>
                <w:sz w:val="21"/>
                <w:szCs w:val="21"/>
              </w:rPr>
              <w:t>张玉坤</w:t>
            </w:r>
            <w:r>
              <w:rPr>
                <w:sz w:val="21"/>
                <w:szCs w:val="21"/>
              </w:rPr>
              <w:t xml:space="preserve">  </w:t>
            </w:r>
            <w:r>
              <w:rPr>
                <w:rFonts w:hint="eastAsia"/>
                <w:sz w:val="21"/>
                <w:szCs w:val="21"/>
                <w:lang w:val="en-US" w:eastAsia="zh-CN"/>
              </w:rPr>
              <w:t xml:space="preserve">    </w:t>
            </w:r>
            <w:r>
              <w:rPr>
                <w:rFonts w:hint="eastAsia"/>
                <w:sz w:val="21"/>
                <w:szCs w:val="21"/>
              </w:rPr>
              <w:t>陪同人员：</w:t>
            </w:r>
            <w:r>
              <w:rPr>
                <w:rFonts w:hint="eastAsia" w:ascii="宋体" w:hAnsi="宋体"/>
                <w:sz w:val="21"/>
                <w:szCs w:val="21"/>
              </w:rPr>
              <w:t>缪哲芳</w:t>
            </w:r>
          </w:p>
        </w:tc>
        <w:tc>
          <w:tcPr>
            <w:tcW w:w="1585"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spacing w:before="120"/>
              <w:rPr>
                <w:sz w:val="21"/>
                <w:szCs w:val="21"/>
              </w:rPr>
            </w:pPr>
            <w:r>
              <w:rPr>
                <w:rFonts w:hint="eastAsia"/>
                <w:sz w:val="21"/>
                <w:szCs w:val="21"/>
              </w:rPr>
              <w:t>审核员：</w:t>
            </w:r>
            <w:r>
              <w:rPr>
                <w:rFonts w:hint="eastAsia"/>
                <w:sz w:val="21"/>
                <w:szCs w:val="21"/>
                <w:lang w:val="en-US" w:eastAsia="zh-CN"/>
              </w:rPr>
              <w:t>伍光华</w:t>
            </w:r>
            <w:r>
              <w:rPr>
                <w:rFonts w:hint="eastAsia"/>
                <w:sz w:val="21"/>
                <w:szCs w:val="21"/>
              </w:rPr>
              <w:t xml:space="preserve"> </w:t>
            </w:r>
            <w:r>
              <w:rPr>
                <w:sz w:val="21"/>
                <w:szCs w:val="21"/>
              </w:rPr>
              <w:t xml:space="preserve">                </w:t>
            </w:r>
            <w:r>
              <w:rPr>
                <w:rFonts w:hint="eastAsia"/>
                <w:sz w:val="21"/>
                <w:szCs w:val="21"/>
              </w:rPr>
              <w:t xml:space="preserve"> 审核时间：</w:t>
            </w:r>
            <w:bookmarkStart w:id="0" w:name="审核日期"/>
            <w:r>
              <w:rPr>
                <w:rFonts w:hint="eastAsia"/>
                <w:sz w:val="21"/>
                <w:szCs w:val="21"/>
              </w:rPr>
              <w:t>2021年11月15日 上午</w:t>
            </w:r>
            <w:bookmarkEnd w:id="0"/>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004" w:type="dxa"/>
            <w:vAlign w:val="center"/>
          </w:tcPr>
          <w:p>
            <w:pPr>
              <w:rPr>
                <w:rFonts w:hint="eastAsia" w:eastAsiaTheme="minorEastAsia"/>
                <w:sz w:val="21"/>
                <w:szCs w:val="21"/>
                <w:lang w:eastAsia="zh-CN"/>
              </w:rPr>
            </w:pPr>
            <w:r>
              <w:rPr>
                <w:rFonts w:hint="eastAsia"/>
                <w:sz w:val="21"/>
                <w:szCs w:val="21"/>
              </w:rPr>
              <w:t>审核条款：</w:t>
            </w:r>
            <w:r>
              <w:rPr>
                <w:rFonts w:hint="eastAsia"/>
                <w:sz w:val="21"/>
                <w:szCs w:val="21"/>
                <w:lang w:val="en-US" w:eastAsia="zh-CN"/>
              </w:rPr>
              <w:t>EO</w:t>
            </w:r>
            <w:r>
              <w:rPr>
                <w:rFonts w:hint="eastAsia"/>
                <w:color w:val="auto"/>
                <w:sz w:val="21"/>
                <w:szCs w:val="21"/>
                <w:u w:val="single"/>
              </w:rPr>
              <w:t>6.1.2环境因素/危险源辨识与评价、8.1运行策划和控制、</w:t>
            </w:r>
          </w:p>
        </w:tc>
        <w:tc>
          <w:tcPr>
            <w:tcW w:w="1585"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0" w:type="auto"/>
            <w:vAlign w:val="center"/>
          </w:tcPr>
          <w:p>
            <w:pPr>
              <w:rPr>
                <w:rFonts w:hint="eastAsia" w:ascii="Times New Roman" w:cs="Times New Roman" w:hAnsiTheme="minorEastAsia" w:eastAsiaTheme="minorEastAsia"/>
                <w:sz w:val="21"/>
                <w:szCs w:val="21"/>
              </w:rPr>
            </w:pPr>
            <w:r>
              <w:rPr>
                <w:rFonts w:hint="eastAsia"/>
                <w:color w:val="auto"/>
                <w:sz w:val="21"/>
                <w:szCs w:val="21"/>
                <w:u w:val="none"/>
              </w:rPr>
              <w:t>环境因素/危险源辨识与评价</w:t>
            </w:r>
          </w:p>
        </w:tc>
        <w:tc>
          <w:tcPr>
            <w:tcW w:w="0" w:type="auto"/>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EO6.1.2</w:t>
            </w:r>
          </w:p>
        </w:tc>
        <w:tc>
          <w:tcPr>
            <w:tcW w:w="0" w:type="auto"/>
            <w:vAlign w:val="center"/>
          </w:tcPr>
          <w:p>
            <w:pPr>
              <w:rPr>
                <w:rFonts w:hint="eastAsia"/>
                <w:sz w:val="21"/>
                <w:szCs w:val="21"/>
              </w:rPr>
            </w:pPr>
            <w:r>
              <w:rPr>
                <w:rFonts w:hint="eastAsia"/>
                <w:sz w:val="21"/>
                <w:szCs w:val="21"/>
              </w:rPr>
              <w:t>销售部负责对本部门环境因素</w:t>
            </w:r>
            <w:r>
              <w:rPr>
                <w:rFonts w:hint="eastAsia"/>
                <w:sz w:val="21"/>
                <w:szCs w:val="21"/>
                <w:lang w:val="en-US" w:eastAsia="zh-CN"/>
              </w:rPr>
              <w:t>和危险源</w:t>
            </w:r>
            <w:r>
              <w:rPr>
                <w:rFonts w:hint="eastAsia"/>
                <w:sz w:val="21"/>
                <w:szCs w:val="21"/>
              </w:rPr>
              <w:t>识别，</w:t>
            </w:r>
            <w:r>
              <w:rPr>
                <w:sz w:val="21"/>
                <w:szCs w:val="21"/>
              </w:rPr>
              <w:t>202</w:t>
            </w:r>
            <w:r>
              <w:rPr>
                <w:rFonts w:hint="eastAsia"/>
                <w:sz w:val="21"/>
                <w:szCs w:val="21"/>
                <w:lang w:val="en-US" w:eastAsia="zh-CN"/>
              </w:rPr>
              <w:t>1</w:t>
            </w:r>
            <w:r>
              <w:rPr>
                <w:rFonts w:hint="eastAsia"/>
                <w:sz w:val="21"/>
                <w:szCs w:val="21"/>
              </w:rPr>
              <w:t>年</w:t>
            </w:r>
            <w:r>
              <w:rPr>
                <w:rFonts w:hint="eastAsia"/>
                <w:sz w:val="21"/>
                <w:szCs w:val="21"/>
                <w:lang w:val="en-US" w:eastAsia="zh-CN"/>
              </w:rPr>
              <w:t>3</w:t>
            </w:r>
            <w:r>
              <w:rPr>
                <w:rFonts w:hint="eastAsia"/>
                <w:sz w:val="21"/>
                <w:szCs w:val="21"/>
              </w:rPr>
              <w:t>月份对环境因素</w:t>
            </w:r>
            <w:r>
              <w:rPr>
                <w:rFonts w:hint="eastAsia"/>
                <w:sz w:val="21"/>
                <w:szCs w:val="21"/>
                <w:lang w:val="en-US" w:eastAsia="zh-CN"/>
              </w:rPr>
              <w:t>和危险源</w:t>
            </w:r>
            <w:r>
              <w:rPr>
                <w:rFonts w:hint="eastAsia"/>
                <w:sz w:val="21"/>
                <w:szCs w:val="21"/>
              </w:rPr>
              <w:t>进行了识别和评价。</w:t>
            </w:r>
          </w:p>
          <w:p>
            <w:pPr>
              <w:rPr>
                <w:rFonts w:hint="eastAsia" w:eastAsia="宋体"/>
                <w:sz w:val="21"/>
                <w:szCs w:val="21"/>
                <w:lang w:val="en-US" w:eastAsia="zh-CN"/>
              </w:rPr>
            </w:pPr>
            <w:r>
              <w:rPr>
                <w:rFonts w:hint="eastAsia" w:eastAsia="宋体"/>
                <w:sz w:val="21"/>
                <w:szCs w:val="21"/>
                <w:lang w:val="en-US" w:eastAsia="zh-CN"/>
              </w:rPr>
              <w:t>执行《环境因素识别与控制程序》</w:t>
            </w:r>
          </w:p>
          <w:p>
            <w:pPr>
              <w:rPr>
                <w:rFonts w:hint="eastAsia" w:eastAsia="宋体"/>
                <w:sz w:val="21"/>
                <w:szCs w:val="21"/>
                <w:lang w:val="en-US" w:eastAsia="zh-CN"/>
              </w:rPr>
            </w:pPr>
            <w:r>
              <w:rPr>
                <w:rFonts w:hint="eastAsia" w:eastAsia="宋体"/>
                <w:sz w:val="21"/>
                <w:szCs w:val="21"/>
                <w:lang w:val="en-US" w:eastAsia="zh-CN"/>
              </w:rPr>
              <w:t>提供的“环境因素识别评价表”“重要环境因素清单”， 评价考虑了三种时态现在、过去、将来、三种状态、异常、正常、紧急考虑了法律法规，并进行了评价，用打分法考虑了法规符合性、发生频次、影响范围等, 通过定性判断法，共识别出重大环境因素6项：废水、废气、危废排放、火灾、资源消耗，评价符合程序要求及公司的实际情况。</w:t>
            </w:r>
          </w:p>
          <w:p>
            <w:pPr>
              <w:rPr>
                <w:rFonts w:hint="eastAsia" w:eastAsia="宋体"/>
                <w:sz w:val="21"/>
                <w:szCs w:val="21"/>
                <w:lang w:val="en-US" w:eastAsia="zh-CN"/>
              </w:rPr>
            </w:pPr>
            <w:r>
              <w:rPr>
                <w:rFonts w:hint="eastAsia" w:eastAsia="宋体"/>
                <w:sz w:val="21"/>
                <w:szCs w:val="21"/>
                <w:lang w:val="en-US" w:eastAsia="zh-CN"/>
              </w:rPr>
              <w:t>提供《重要环境因素清单》，其中涉及</w:t>
            </w:r>
            <w:r>
              <w:rPr>
                <w:rFonts w:hint="eastAsia"/>
                <w:sz w:val="21"/>
                <w:szCs w:val="21"/>
                <w:lang w:val="en-US" w:eastAsia="zh-CN"/>
              </w:rPr>
              <w:t>销售部</w:t>
            </w:r>
            <w:r>
              <w:rPr>
                <w:rFonts w:hint="eastAsia" w:eastAsia="宋体"/>
                <w:sz w:val="21"/>
                <w:szCs w:val="21"/>
                <w:lang w:val="en-US" w:eastAsia="zh-CN"/>
              </w:rPr>
              <w:t>的重要环境因素：火灾。</w:t>
            </w:r>
          </w:p>
          <w:p>
            <w:pPr>
              <w:rPr>
                <w:rFonts w:hint="eastAsia" w:eastAsia="宋体"/>
                <w:sz w:val="21"/>
                <w:szCs w:val="21"/>
                <w:lang w:val="en-US" w:eastAsia="zh-CN"/>
              </w:rPr>
            </w:pPr>
            <w:r>
              <w:rPr>
                <w:rFonts w:hint="eastAsia" w:eastAsia="宋体"/>
                <w:sz w:val="21"/>
                <w:szCs w:val="21"/>
                <w:lang w:val="en-US" w:eastAsia="zh-CN"/>
              </w:rPr>
              <w:t>评价基本合理。识别人：缪哲芳</w:t>
            </w:r>
            <w:r>
              <w:rPr>
                <w:rFonts w:hint="eastAsia"/>
                <w:sz w:val="21"/>
                <w:szCs w:val="21"/>
                <w:lang w:val="en-US" w:eastAsia="zh-CN"/>
              </w:rPr>
              <w:t xml:space="preserve">  </w:t>
            </w:r>
            <w:r>
              <w:rPr>
                <w:rFonts w:hint="eastAsia" w:eastAsia="宋体"/>
                <w:sz w:val="21"/>
                <w:szCs w:val="21"/>
                <w:lang w:val="en-US" w:eastAsia="zh-CN"/>
              </w:rPr>
              <w:t>等   审批：</w:t>
            </w:r>
            <w:r>
              <w:rPr>
                <w:rFonts w:hint="eastAsia" w:asciiTheme="majorEastAsia" w:hAnsiTheme="majorEastAsia" w:eastAsiaTheme="majorEastAsia" w:cstheme="majorEastAsia"/>
                <w:bCs/>
                <w:sz w:val="21"/>
                <w:szCs w:val="21"/>
              </w:rPr>
              <w:t>施英虎</w:t>
            </w:r>
            <w:r>
              <w:rPr>
                <w:rFonts w:hint="eastAsia" w:eastAsia="宋体"/>
                <w:sz w:val="21"/>
                <w:szCs w:val="21"/>
                <w:lang w:val="en-US" w:eastAsia="zh-CN"/>
              </w:rPr>
              <w:t>2021-6-1。</w:t>
            </w:r>
          </w:p>
          <w:p>
            <w:pPr>
              <w:rPr>
                <w:rFonts w:hint="eastAsia" w:eastAsia="宋体"/>
                <w:sz w:val="21"/>
                <w:szCs w:val="21"/>
                <w:lang w:val="en-US" w:eastAsia="zh-CN"/>
              </w:rPr>
            </w:pPr>
            <w:r>
              <w:rPr>
                <w:rFonts w:hint="eastAsia" w:eastAsia="宋体"/>
                <w:sz w:val="21"/>
                <w:szCs w:val="21"/>
                <w:lang w:val="en-US" w:eastAsia="zh-CN"/>
              </w:rPr>
              <w:t>执行《危险源识别和评价控制程序》</w:t>
            </w:r>
          </w:p>
          <w:p>
            <w:pPr>
              <w:rPr>
                <w:rFonts w:hint="eastAsia" w:eastAsia="宋体"/>
                <w:sz w:val="21"/>
                <w:szCs w:val="21"/>
                <w:lang w:val="en-US" w:eastAsia="zh-CN"/>
              </w:rPr>
            </w:pPr>
            <w:r>
              <w:rPr>
                <w:rFonts w:hint="eastAsia" w:eastAsia="宋体"/>
                <w:sz w:val="21"/>
                <w:szCs w:val="21"/>
                <w:lang w:val="en-US" w:eastAsia="zh-CN"/>
              </w:rPr>
              <w:t>提供了《职业健康安全危险源识别与评价表》，涉及本部门的危险源包括：使用电器不当造成触电，搬运货物造成的砸伤，吸烟乱扔烟头导致火灾，</w:t>
            </w:r>
            <w:r>
              <w:rPr>
                <w:rFonts w:hint="eastAsia"/>
                <w:sz w:val="21"/>
                <w:szCs w:val="21"/>
                <w:lang w:val="en-US" w:eastAsia="zh-CN"/>
              </w:rPr>
              <w:t>销售</w:t>
            </w:r>
            <w:r>
              <w:rPr>
                <w:rFonts w:hint="eastAsia" w:eastAsia="宋体"/>
                <w:sz w:val="21"/>
                <w:szCs w:val="21"/>
                <w:lang w:val="en-US" w:eastAsia="zh-CN"/>
              </w:rPr>
              <w:t>过程途中交通危险，电器短路或使用时间过长散热不良，相关方出入驾驶员违章驾驶等。</w:t>
            </w:r>
          </w:p>
          <w:p>
            <w:pPr>
              <w:rPr>
                <w:rFonts w:hint="eastAsia" w:eastAsia="宋体"/>
                <w:sz w:val="21"/>
                <w:szCs w:val="21"/>
                <w:lang w:val="en-US" w:eastAsia="zh-CN"/>
              </w:rPr>
            </w:pPr>
            <w:r>
              <w:rPr>
                <w:rFonts w:hint="eastAsia" w:eastAsia="宋体"/>
                <w:sz w:val="21"/>
                <w:szCs w:val="21"/>
                <w:lang w:val="en-US" w:eastAsia="zh-CN"/>
              </w:rPr>
              <w:t xml:space="preserve">用直接判断法对识别的危险源进行评价。 </w:t>
            </w:r>
          </w:p>
          <w:p>
            <w:pPr>
              <w:rPr>
                <w:rFonts w:hint="eastAsia" w:eastAsia="宋体"/>
                <w:sz w:val="21"/>
                <w:szCs w:val="21"/>
                <w:lang w:val="en-US" w:eastAsia="zh-CN"/>
              </w:rPr>
            </w:pPr>
            <w:r>
              <w:rPr>
                <w:rFonts w:hint="eastAsia" w:eastAsia="宋体"/>
                <w:sz w:val="21"/>
                <w:szCs w:val="21"/>
                <w:lang w:val="en-US" w:eastAsia="zh-CN"/>
              </w:rPr>
              <w:t>提供“危险源辨识风险评价表”，涉及本部门的的危险源已辨识出线路老化、短路隐患、电线漏电等情况产生的火灾、触电等危险因素。</w:t>
            </w:r>
          </w:p>
          <w:p>
            <w:pPr>
              <w:rPr>
                <w:rFonts w:hint="eastAsia" w:eastAsia="宋体"/>
                <w:sz w:val="21"/>
                <w:szCs w:val="21"/>
                <w:lang w:val="en-US" w:eastAsia="zh-CN"/>
              </w:rPr>
            </w:pPr>
            <w:r>
              <w:rPr>
                <w:rFonts w:hint="eastAsia" w:eastAsia="宋体"/>
                <w:sz w:val="21"/>
                <w:szCs w:val="21"/>
                <w:lang w:val="en-US" w:eastAsia="zh-CN"/>
              </w:rPr>
              <w:t>提供了“不可接受风险清单”</w:t>
            </w:r>
          </w:p>
          <w:p>
            <w:pPr>
              <w:rPr>
                <w:rFonts w:hint="eastAsia" w:eastAsia="宋体"/>
                <w:sz w:val="21"/>
                <w:szCs w:val="21"/>
                <w:lang w:val="en-US" w:eastAsia="zh-CN"/>
              </w:rPr>
            </w:pPr>
            <w:r>
              <w:rPr>
                <w:rFonts w:hint="eastAsia" w:eastAsia="宋体"/>
                <w:sz w:val="21"/>
                <w:szCs w:val="21"/>
                <w:lang w:val="en-US" w:eastAsia="zh-CN"/>
              </w:rPr>
              <w:t>涉及本部门的重要</w:t>
            </w:r>
            <w:r>
              <w:rPr>
                <w:rFonts w:hint="eastAsia"/>
                <w:sz w:val="21"/>
                <w:szCs w:val="21"/>
                <w:lang w:val="en-US" w:eastAsia="zh-CN"/>
              </w:rPr>
              <w:t>危险源</w:t>
            </w:r>
            <w:r>
              <w:rPr>
                <w:rFonts w:hint="eastAsia" w:eastAsia="宋体"/>
                <w:sz w:val="21"/>
                <w:szCs w:val="21"/>
                <w:lang w:val="en-US" w:eastAsia="zh-CN"/>
              </w:rPr>
              <w:t>：火灾和交通意外伤害。评价基本准确。</w:t>
            </w:r>
          </w:p>
          <w:p>
            <w:pPr>
              <w:tabs>
                <w:tab w:val="left" w:pos="6597"/>
              </w:tabs>
              <w:spacing w:line="240" w:lineRule="auto"/>
              <w:ind w:firstLine="630" w:firstLineChars="300"/>
              <w:rPr>
                <w:rFonts w:hint="eastAsia" w:hAnsiTheme="minorEastAsia" w:eastAsiaTheme="minorEastAsia"/>
                <w:sz w:val="21"/>
                <w:szCs w:val="21"/>
                <w:lang w:val="en-US" w:eastAsia="zh-CN"/>
              </w:rPr>
            </w:pPr>
            <w:r>
              <w:rPr>
                <w:rFonts w:hint="eastAsia" w:eastAsia="宋体"/>
                <w:sz w:val="21"/>
                <w:szCs w:val="21"/>
                <w:lang w:val="en-US" w:eastAsia="zh-CN"/>
              </w:rPr>
              <w:t>识别人：缪哲芳</w:t>
            </w:r>
            <w:r>
              <w:rPr>
                <w:rFonts w:hint="eastAsia"/>
                <w:sz w:val="21"/>
                <w:szCs w:val="21"/>
                <w:lang w:val="en-US" w:eastAsia="zh-CN"/>
              </w:rPr>
              <w:t xml:space="preserve">  </w:t>
            </w:r>
            <w:r>
              <w:rPr>
                <w:rFonts w:hint="eastAsia" w:eastAsia="宋体"/>
                <w:sz w:val="21"/>
                <w:szCs w:val="21"/>
                <w:lang w:val="en-US" w:eastAsia="zh-CN"/>
              </w:rPr>
              <w:t>等   审批：</w:t>
            </w:r>
            <w:r>
              <w:rPr>
                <w:rFonts w:hint="eastAsia" w:asciiTheme="majorEastAsia" w:hAnsiTheme="majorEastAsia" w:eastAsiaTheme="majorEastAsia" w:cstheme="majorEastAsia"/>
                <w:bCs/>
                <w:sz w:val="21"/>
                <w:szCs w:val="21"/>
              </w:rPr>
              <w:t>施英虎</w:t>
            </w:r>
            <w:r>
              <w:rPr>
                <w:rFonts w:hint="eastAsia" w:eastAsia="宋体"/>
                <w:sz w:val="21"/>
                <w:szCs w:val="21"/>
                <w:lang w:val="en-US" w:eastAsia="zh-CN"/>
              </w:rPr>
              <w:t>2021-6-1。</w:t>
            </w:r>
            <w:r>
              <w:rPr>
                <w:rFonts w:hint="eastAsia"/>
                <w:sz w:val="21"/>
                <w:szCs w:val="21"/>
              </w:rPr>
              <w:t>环境因素及危险源识别和评价基本适宜。</w:t>
            </w:r>
          </w:p>
        </w:tc>
        <w:tc>
          <w:tcPr>
            <w:tcW w:w="0" w:type="auto"/>
            <w:vAlign w:val="top"/>
          </w:tcPr>
          <w:p>
            <w:pPr>
              <w:spacing w:line="360" w:lineRule="auto"/>
              <w:rPr>
                <w:rFonts w:hint="default" w:eastAsiaTheme="minorEastAsia"/>
                <w:sz w:val="21"/>
                <w:szCs w:val="21"/>
                <w:highlight w:val="none"/>
                <w:lang w:val="en-US" w:eastAsia="zh-CN"/>
              </w:rPr>
            </w:pPr>
            <w:r>
              <w:rPr>
                <w:rFonts w:hint="eastAsia" w:eastAsiaTheme="minorEastAsia"/>
                <w:sz w:val="21"/>
                <w:szCs w:val="21"/>
                <w:highlight w:val="none"/>
                <w:lang w:val="en-US" w:eastAsia="zh-CN"/>
              </w:rPr>
              <w:t>OK</w:t>
            </w:r>
          </w:p>
          <w:p>
            <w:pPr>
              <w:spacing w:line="360" w:lineRule="auto"/>
              <w:rPr>
                <w:rFonts w:ascii="Times New Roman" w:hAnsi="Times New Roman" w:cs="Times New Roman" w:eastAsiaTheme="minorEastAsia"/>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0" w:type="auto"/>
            <w:vAlign w:val="center"/>
          </w:tcPr>
          <w:p>
            <w:pPr>
              <w:rPr>
                <w:rFonts w:hint="default" w:ascii="Times New Roman" w:cs="Times New Roman" w:hAnsiTheme="minorEastAsia" w:eastAsiaTheme="minorEastAsia"/>
                <w:sz w:val="21"/>
                <w:szCs w:val="21"/>
                <w:lang w:val="en-US" w:eastAsia="zh-CN"/>
              </w:rPr>
            </w:pPr>
            <w:r>
              <w:rPr>
                <w:rFonts w:hint="eastAsia" w:cs="Times New Roman" w:hAnsiTheme="minorEastAsia" w:eastAsiaTheme="minorEastAsia"/>
                <w:sz w:val="21"/>
                <w:szCs w:val="21"/>
                <w:lang w:val="en-US" w:eastAsia="zh-CN"/>
              </w:rPr>
              <w:t>运行策划和控制</w:t>
            </w:r>
          </w:p>
        </w:tc>
        <w:tc>
          <w:tcPr>
            <w:tcW w:w="0" w:type="auto"/>
            <w:vAlign w:val="center"/>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EO8.1</w:t>
            </w:r>
          </w:p>
        </w:tc>
        <w:tc>
          <w:tcPr>
            <w:tcW w:w="0" w:type="auto"/>
            <w:vAlign w:val="center"/>
          </w:tcPr>
          <w:p>
            <w:pPr>
              <w:rPr>
                <w:sz w:val="21"/>
                <w:szCs w:val="21"/>
              </w:rPr>
            </w:pPr>
            <w:r>
              <w:rPr>
                <w:rFonts w:hint="eastAsia"/>
                <w:sz w:val="21"/>
                <w:szCs w:val="21"/>
              </w:rPr>
              <w:t>本部门应执行的运行控制文件包括：产品销售过程控制程序、环境</w:t>
            </w:r>
            <w:r>
              <w:rPr>
                <w:rFonts w:hint="eastAsia"/>
                <w:sz w:val="21"/>
                <w:szCs w:val="21"/>
                <w:lang w:val="en-US" w:eastAsia="zh-CN"/>
              </w:rPr>
              <w:t>安全</w:t>
            </w:r>
            <w:r>
              <w:rPr>
                <w:rFonts w:hint="eastAsia"/>
                <w:sz w:val="21"/>
                <w:szCs w:val="21"/>
              </w:rPr>
              <w:t>运行控制程序、与顾客有关过程控制程序等。</w:t>
            </w:r>
          </w:p>
          <w:p>
            <w:pPr>
              <w:rPr>
                <w:sz w:val="21"/>
                <w:szCs w:val="21"/>
              </w:rPr>
            </w:pPr>
            <w:r>
              <w:rPr>
                <w:rFonts w:hint="eastAsia"/>
                <w:sz w:val="21"/>
                <w:szCs w:val="21"/>
              </w:rPr>
              <w:t>查运行控制情况：</w:t>
            </w:r>
          </w:p>
          <w:p>
            <w:pPr>
              <w:rPr>
                <w:sz w:val="21"/>
                <w:szCs w:val="21"/>
              </w:rPr>
            </w:pPr>
            <w:r>
              <w:rPr>
                <w:rFonts w:hint="eastAsia"/>
                <w:sz w:val="21"/>
                <w:szCs w:val="21"/>
              </w:rPr>
              <w:t>办公过程注意节约用电，销售部做到人走灯灭，电脑长时间不用时关机，下班前要关闭电源；</w:t>
            </w:r>
          </w:p>
          <w:p>
            <w:pPr>
              <w:rPr>
                <w:sz w:val="21"/>
                <w:szCs w:val="21"/>
              </w:rPr>
            </w:pPr>
            <w:r>
              <w:rPr>
                <w:rFonts w:hint="eastAsia"/>
                <w:sz w:val="21"/>
                <w:szCs w:val="21"/>
              </w:rPr>
              <w:t>工作时间平均每天不超过8小时，公司为员工办理了意外伤害等保险；</w:t>
            </w:r>
          </w:p>
          <w:p>
            <w:pPr>
              <w:rPr>
                <w:sz w:val="21"/>
                <w:szCs w:val="21"/>
              </w:rPr>
            </w:pPr>
            <w:r>
              <w:rPr>
                <w:rFonts w:hint="eastAsia"/>
                <w:sz w:val="21"/>
                <w:szCs w:val="21"/>
              </w:rPr>
              <w:t>外出办公要求遵守道路交通安全法，不违章行驶，驾驶证和车辆定期年审，确保出行安全；</w:t>
            </w:r>
          </w:p>
          <w:p>
            <w:pPr>
              <w:rPr>
                <w:sz w:val="21"/>
                <w:szCs w:val="21"/>
              </w:rPr>
            </w:pPr>
            <w:r>
              <w:rPr>
                <w:rFonts w:hint="eastAsia"/>
                <w:sz w:val="21"/>
                <w:szCs w:val="21"/>
              </w:rPr>
              <w:t>提供了致相关方的一封信，通过建议书告知各位来访人员公司有关安全方面应注意的事项及相关规定。有发放记录。提供相关方安全管理协议。</w:t>
            </w:r>
          </w:p>
          <w:p>
            <w:pPr>
              <w:rPr>
                <w:sz w:val="21"/>
                <w:szCs w:val="21"/>
              </w:rPr>
            </w:pPr>
            <w:r>
              <w:rPr>
                <w:rFonts w:hint="eastAsia"/>
                <w:sz w:val="21"/>
                <w:szCs w:val="21"/>
              </w:rPr>
              <w:t>在与顾客沟通和招投标时，通过选择适当时机向顾客宣传本公司的方针理念以及本公司的具体做法、成绩等，向顾客施加影响，增强顾客对本公司的信任程度。</w:t>
            </w:r>
          </w:p>
          <w:p>
            <w:pPr>
              <w:tabs>
                <w:tab w:val="left" w:pos="6597"/>
              </w:tabs>
              <w:spacing w:line="240" w:lineRule="auto"/>
              <w:ind w:firstLine="630" w:firstLineChars="300"/>
              <w:rPr>
                <w:rFonts w:hint="eastAsia" w:hAnsiTheme="minorEastAsia" w:eastAsiaTheme="minorEastAsia"/>
                <w:sz w:val="21"/>
                <w:szCs w:val="21"/>
                <w:lang w:val="en-US" w:eastAsia="zh-CN"/>
              </w:rPr>
            </w:pPr>
            <w:r>
              <w:rPr>
                <w:rFonts w:hint="eastAsia"/>
                <w:sz w:val="21"/>
                <w:szCs w:val="21"/>
              </w:rPr>
              <w:t>提供“相关方环境</w:t>
            </w:r>
            <w:r>
              <w:rPr>
                <w:rFonts w:hint="eastAsia"/>
                <w:sz w:val="21"/>
                <w:szCs w:val="21"/>
                <w:lang w:val="en-US" w:eastAsia="zh-CN"/>
              </w:rPr>
              <w:t>安全</w:t>
            </w:r>
            <w:r>
              <w:rPr>
                <w:rFonts w:hint="eastAsia"/>
                <w:sz w:val="21"/>
                <w:szCs w:val="21"/>
              </w:rPr>
              <w:t>告知书”，包括原材料供方等，提供有“告知书”发放记录。</w:t>
            </w:r>
          </w:p>
        </w:tc>
        <w:tc>
          <w:tcPr>
            <w:tcW w:w="0" w:type="auto"/>
            <w:vAlign w:val="top"/>
          </w:tcPr>
          <w:p>
            <w:pPr>
              <w:spacing w:line="360" w:lineRule="auto"/>
              <w:rPr>
                <w:rFonts w:hint="default" w:eastAsiaTheme="minorEastAsia"/>
                <w:sz w:val="21"/>
                <w:szCs w:val="21"/>
                <w:highlight w:val="none"/>
                <w:lang w:val="en-US" w:eastAsia="zh-CN"/>
              </w:rPr>
            </w:pPr>
            <w:r>
              <w:rPr>
                <w:rFonts w:hint="eastAsia" w:eastAsiaTheme="minorEastAsia"/>
                <w:sz w:val="21"/>
                <w:szCs w:val="21"/>
                <w:highlight w:val="none"/>
                <w:lang w:val="en-US" w:eastAsia="zh-CN"/>
              </w:rPr>
              <w:t>OK</w:t>
            </w:r>
          </w:p>
          <w:p>
            <w:pPr>
              <w:spacing w:line="360" w:lineRule="auto"/>
              <w:rPr>
                <w:rFonts w:ascii="Times New Roman" w:hAnsi="Times New Roman" w:cs="Times New Roman" w:eastAsiaTheme="minorEastAsia"/>
                <w:kern w:val="2"/>
                <w:sz w:val="21"/>
                <w:szCs w:val="21"/>
                <w:highlight w:val="yellow"/>
                <w:lang w:val="en-US" w:eastAsia="zh-CN" w:bidi="ar-SA"/>
              </w:rPr>
            </w:pPr>
          </w:p>
        </w:tc>
      </w:tr>
    </w:tbl>
    <w:p>
      <w:bookmarkStart w:id="1" w:name="_GoBack"/>
      <w:bookmarkEnd w:id="1"/>
    </w:p>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7A76EE"/>
    <w:rsid w:val="03114066"/>
    <w:rsid w:val="056A6360"/>
    <w:rsid w:val="084560A8"/>
    <w:rsid w:val="097B1463"/>
    <w:rsid w:val="0B7A250D"/>
    <w:rsid w:val="12F82587"/>
    <w:rsid w:val="1384574A"/>
    <w:rsid w:val="16CB7288"/>
    <w:rsid w:val="1B2975C4"/>
    <w:rsid w:val="1B474608"/>
    <w:rsid w:val="20A83C14"/>
    <w:rsid w:val="217C17B0"/>
    <w:rsid w:val="21A63C04"/>
    <w:rsid w:val="222D627C"/>
    <w:rsid w:val="23627FFE"/>
    <w:rsid w:val="24D46CDA"/>
    <w:rsid w:val="27AF4F5B"/>
    <w:rsid w:val="2A2963E5"/>
    <w:rsid w:val="2BF8505C"/>
    <w:rsid w:val="2EC90F31"/>
    <w:rsid w:val="35563C98"/>
    <w:rsid w:val="38644049"/>
    <w:rsid w:val="391B682D"/>
    <w:rsid w:val="3AD60C39"/>
    <w:rsid w:val="436815D6"/>
    <w:rsid w:val="44314E3C"/>
    <w:rsid w:val="443B3709"/>
    <w:rsid w:val="46463411"/>
    <w:rsid w:val="48710218"/>
    <w:rsid w:val="48C2690B"/>
    <w:rsid w:val="4F811935"/>
    <w:rsid w:val="516923D4"/>
    <w:rsid w:val="521D6D1B"/>
    <w:rsid w:val="55504DBE"/>
    <w:rsid w:val="57703963"/>
    <w:rsid w:val="59FE3912"/>
    <w:rsid w:val="5A416933"/>
    <w:rsid w:val="5A4E44CD"/>
    <w:rsid w:val="5A7848A2"/>
    <w:rsid w:val="5A8021A7"/>
    <w:rsid w:val="5CB92F6E"/>
    <w:rsid w:val="5E6D0CBD"/>
    <w:rsid w:val="62EA32E1"/>
    <w:rsid w:val="6760172C"/>
    <w:rsid w:val="68D221B5"/>
    <w:rsid w:val="6B655563"/>
    <w:rsid w:val="6C9B7912"/>
    <w:rsid w:val="6CD82114"/>
    <w:rsid w:val="6FB70164"/>
    <w:rsid w:val="6FB70E68"/>
    <w:rsid w:val="6FFC0945"/>
    <w:rsid w:val="704D5607"/>
    <w:rsid w:val="717839A8"/>
    <w:rsid w:val="71EC0628"/>
    <w:rsid w:val="74812C04"/>
    <w:rsid w:val="75602209"/>
    <w:rsid w:val="76471A2B"/>
    <w:rsid w:val="7C9E7265"/>
    <w:rsid w:val="7E7217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2021-11-19T08:20:50Z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