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sz w:val="21"/>
                <w:szCs w:val="21"/>
              </w:rPr>
            </w:pPr>
            <w:r>
              <w:rPr>
                <w:rFonts w:hint="eastAsia"/>
                <w:sz w:val="21"/>
                <w:szCs w:val="21"/>
              </w:rPr>
              <w:t>受审核部门：</w:t>
            </w:r>
            <w:r>
              <w:rPr>
                <w:rFonts w:hint="eastAsia"/>
                <w:sz w:val="21"/>
                <w:szCs w:val="21"/>
                <w:lang w:val="en-US" w:eastAsia="zh-CN"/>
              </w:rPr>
              <w:t>采购部</w:t>
            </w:r>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ascii="宋体" w:hAnsi="宋体"/>
                <w:sz w:val="21"/>
                <w:szCs w:val="21"/>
              </w:rPr>
              <w:t>缪哲芳</w:t>
            </w:r>
            <w:r>
              <w:rPr>
                <w:sz w:val="21"/>
                <w:szCs w:val="21"/>
              </w:rPr>
              <w:t xml:space="preserve">  </w:t>
            </w:r>
            <w:r>
              <w:rPr>
                <w:rFonts w:hint="eastAsia"/>
                <w:sz w:val="21"/>
                <w:szCs w:val="21"/>
                <w:lang w:val="en-US" w:eastAsia="zh-CN"/>
              </w:rPr>
              <w:t xml:space="preserve">     </w:t>
            </w:r>
            <w:r>
              <w:rPr>
                <w:rFonts w:hint="eastAsia"/>
                <w:sz w:val="21"/>
                <w:szCs w:val="21"/>
              </w:rPr>
              <w:t>陪同人员：</w:t>
            </w:r>
            <w:r>
              <w:rPr>
                <w:rFonts w:hint="eastAsia" w:ascii="宋体" w:hAnsi="宋体"/>
                <w:sz w:val="21"/>
                <w:szCs w:val="21"/>
              </w:rPr>
              <w:t>张玉坤</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val="en-US" w:eastAsia="zh-CN"/>
              </w:rPr>
              <w:t>伍光华</w:t>
            </w:r>
            <w:r>
              <w:rPr>
                <w:rFonts w:hint="eastAsia"/>
                <w:sz w:val="21"/>
                <w:szCs w:val="21"/>
              </w:rPr>
              <w:t xml:space="preserve"> </w:t>
            </w:r>
            <w:r>
              <w:rPr>
                <w:sz w:val="21"/>
                <w:szCs w:val="21"/>
              </w:rPr>
              <w:t xml:space="preserve">                </w:t>
            </w:r>
            <w:r>
              <w:rPr>
                <w:rFonts w:hint="eastAsia"/>
                <w:sz w:val="21"/>
                <w:szCs w:val="21"/>
              </w:rPr>
              <w:t xml:space="preserve"> 审核时间：</w:t>
            </w:r>
            <w:bookmarkStart w:id="0" w:name="审核日期"/>
            <w:r>
              <w:rPr>
                <w:rFonts w:hint="eastAsia"/>
                <w:sz w:val="21"/>
                <w:szCs w:val="21"/>
              </w:rPr>
              <w:t>2021年11月15日 上午</w:t>
            </w:r>
            <w:bookmarkEnd w:id="0"/>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rFonts w:hint="default" w:eastAsiaTheme="minorEastAsia"/>
                <w:sz w:val="21"/>
                <w:szCs w:val="21"/>
                <w:lang w:val="en-US" w:eastAsia="zh-CN"/>
              </w:rPr>
            </w:pPr>
            <w:r>
              <w:rPr>
                <w:rFonts w:hint="eastAsia"/>
                <w:sz w:val="21"/>
                <w:szCs w:val="21"/>
              </w:rPr>
              <w:t>审核条款：</w:t>
            </w:r>
            <w:r>
              <w:rPr>
                <w:rFonts w:hint="eastAsia" w:cs="Times New Roman" w:hAnsiTheme="minorEastAsia" w:eastAsiaTheme="minorEastAsia"/>
                <w:sz w:val="21"/>
                <w:szCs w:val="21"/>
                <w:u w:val="single"/>
                <w:lang w:val="en-US" w:eastAsia="zh-CN"/>
              </w:rPr>
              <w:t>EO</w:t>
            </w:r>
            <w:r>
              <w:rPr>
                <w:rFonts w:hint="eastAsia" w:ascii="宋体" w:cs="Arial"/>
                <w:color w:val="auto"/>
                <w:sz w:val="21"/>
                <w:szCs w:val="21"/>
                <w:u w:val="single"/>
              </w:rPr>
              <w:t>6.1.2环境因素/危险源辨识与评价、8.1运行策划和控制、</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cs="Arial"/>
                <w:color w:val="auto"/>
                <w:sz w:val="21"/>
                <w:szCs w:val="21"/>
                <w:u w:val="none"/>
              </w:rPr>
              <w:t>环境因素/危险源辨识与评价</w:t>
            </w:r>
          </w:p>
        </w:tc>
        <w:tc>
          <w:tcPr>
            <w:tcW w:w="960" w:type="dxa"/>
            <w:vAlign w:val="top"/>
          </w:tcPr>
          <w:p>
            <w:pPr>
              <w:spacing w:line="2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EO6.1.2</w:t>
            </w:r>
          </w:p>
        </w:tc>
        <w:tc>
          <w:tcPr>
            <w:tcW w:w="10004" w:type="dxa"/>
            <w:vAlign w:val="center"/>
          </w:tcPr>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查有：《环境因素和危险源识别评价与控制程序》</w:t>
            </w:r>
            <w:r>
              <w:rPr>
                <w:rFonts w:eastAsiaTheme="minorEastAsia"/>
                <w:sz w:val="21"/>
                <w:szCs w:val="21"/>
              </w:rPr>
              <w:t>,</w:t>
            </w:r>
            <w:r>
              <w:rPr>
                <w:rFonts w:hAnsiTheme="minorEastAsia" w:eastAsiaTheme="minorEastAsia"/>
                <w:sz w:val="21"/>
                <w:szCs w:val="21"/>
              </w:rPr>
              <w:t>质检部按照办公过程和检验过程对环境因素、危险源进行了辨识，辨识时考虑了三种时态：过去、现在和将来，和三种状态：正常、异常和紧急。</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w:t>
            </w:r>
            <w:r>
              <w:rPr>
                <w:rFonts w:hint="eastAsia" w:hAnsiTheme="minorEastAsia" w:eastAsiaTheme="minorEastAsia"/>
                <w:sz w:val="21"/>
                <w:szCs w:val="21"/>
                <w:lang w:val="en-US" w:eastAsia="zh-CN"/>
              </w:rPr>
              <w:t>采购</w:t>
            </w:r>
            <w:r>
              <w:rPr>
                <w:rFonts w:hAnsiTheme="minorEastAsia" w:eastAsiaTheme="minorEastAsia"/>
                <w:sz w:val="21"/>
                <w:szCs w:val="21"/>
              </w:rPr>
              <w:t>部的</w:t>
            </w:r>
            <w:r>
              <w:rPr>
                <w:rFonts w:eastAsiaTheme="minorEastAsia"/>
                <w:sz w:val="21"/>
                <w:szCs w:val="21"/>
              </w:rPr>
              <w:t>“</w:t>
            </w:r>
            <w:r>
              <w:rPr>
                <w:rFonts w:hAnsiTheme="minorEastAsia" w:eastAsiaTheme="minorEastAsia"/>
                <w:sz w:val="21"/>
                <w:szCs w:val="21"/>
              </w:rPr>
              <w:t>环境因素识别评价汇总表</w:t>
            </w:r>
            <w:r>
              <w:rPr>
                <w:rFonts w:eastAsiaTheme="minorEastAsia"/>
                <w:sz w:val="21"/>
                <w:szCs w:val="21"/>
              </w:rPr>
              <w:t>”</w:t>
            </w:r>
            <w:r>
              <w:rPr>
                <w:rFonts w:hAnsiTheme="minorEastAsia" w:eastAsiaTheme="minorEastAsia"/>
                <w:sz w:val="21"/>
                <w:szCs w:val="21"/>
              </w:rPr>
              <w:t>，识别了本部门在办公过程的环境因素，包括</w:t>
            </w:r>
            <w:r>
              <w:rPr>
                <w:rFonts w:hint="eastAsia" w:hAnsiTheme="minorEastAsia" w:eastAsiaTheme="minorEastAsia"/>
                <w:sz w:val="21"/>
                <w:szCs w:val="21"/>
              </w:rPr>
              <w:t>意外火灾、固体废弃物排放、生活垃圾的废弃、废水排放、电能的消耗</w:t>
            </w:r>
            <w:r>
              <w:rPr>
                <w:rFonts w:hAnsiTheme="minorEastAsia" w:eastAsiaTheme="minorEastAsia"/>
                <w:sz w:val="21"/>
                <w:szCs w:val="21"/>
              </w:rPr>
              <w:t>等环境因素，识别时能考虑产品生命周期观点。</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查《重要环境因素清单》，涉及</w:t>
            </w:r>
            <w:r>
              <w:rPr>
                <w:rFonts w:hint="eastAsia" w:hAnsiTheme="minorEastAsia" w:eastAsiaTheme="minorEastAsia"/>
                <w:sz w:val="21"/>
                <w:szCs w:val="21"/>
                <w:lang w:val="en-US" w:eastAsia="zh-CN"/>
              </w:rPr>
              <w:t>技质</w:t>
            </w:r>
            <w:r>
              <w:rPr>
                <w:rFonts w:hAnsiTheme="minorEastAsia" w:eastAsiaTheme="minorEastAsia"/>
                <w:sz w:val="21"/>
                <w:szCs w:val="21"/>
              </w:rPr>
              <w:t>部有</w:t>
            </w:r>
            <w:r>
              <w:rPr>
                <w:rFonts w:eastAsiaTheme="minorEastAsia"/>
                <w:sz w:val="21"/>
                <w:szCs w:val="21"/>
              </w:rPr>
              <w:t>2</w:t>
            </w:r>
            <w:r>
              <w:rPr>
                <w:rFonts w:hAnsiTheme="minorEastAsia" w:eastAsiaTheme="minorEastAsia"/>
                <w:sz w:val="21"/>
                <w:szCs w:val="21"/>
              </w:rPr>
              <w:t>项重要环境因素，包括：潜在火灾、固体废弃物的排放。</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控制措施：固废分类存放、垃圾等由</w:t>
            </w:r>
            <w:r>
              <w:rPr>
                <w:rFonts w:hint="eastAsia" w:hAnsiTheme="minorEastAsia" w:eastAsiaTheme="minorEastAsia"/>
                <w:sz w:val="21"/>
                <w:szCs w:val="21"/>
                <w:lang w:val="en-US" w:eastAsia="zh-CN"/>
              </w:rPr>
              <w:t>综合办</w:t>
            </w:r>
            <w:r>
              <w:rPr>
                <w:rFonts w:hAnsiTheme="minorEastAsia" w:eastAsiaTheme="minorEastAsia"/>
                <w:sz w:val="21"/>
                <w:szCs w:val="21"/>
              </w:rPr>
              <w:t>负责按规定处置，包装物分类卖掉，日常检查、培训教育，配备有消防器材、制定应急预案等措施。</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w:t>
            </w:r>
            <w:r>
              <w:rPr>
                <w:rFonts w:hint="eastAsia" w:hAnsiTheme="minorEastAsia" w:eastAsiaTheme="minorEastAsia"/>
                <w:sz w:val="21"/>
                <w:szCs w:val="21"/>
                <w:lang w:val="en-US" w:eastAsia="zh-CN"/>
              </w:rPr>
              <w:t>采购</w:t>
            </w:r>
            <w:r>
              <w:rPr>
                <w:rFonts w:hAnsiTheme="minorEastAsia" w:eastAsiaTheme="minorEastAsia"/>
                <w:sz w:val="21"/>
                <w:szCs w:val="21"/>
              </w:rPr>
              <w:t>部的</w:t>
            </w:r>
            <w:r>
              <w:rPr>
                <w:rFonts w:eastAsiaTheme="minorEastAsia"/>
                <w:sz w:val="21"/>
                <w:szCs w:val="21"/>
              </w:rPr>
              <w:t>“</w:t>
            </w:r>
            <w:r>
              <w:rPr>
                <w:rFonts w:hAnsiTheme="minorEastAsia" w:eastAsiaTheme="minorEastAsia"/>
                <w:sz w:val="21"/>
                <w:szCs w:val="21"/>
              </w:rPr>
              <w:t>危险源识别及风险评价表</w:t>
            </w:r>
            <w:r>
              <w:rPr>
                <w:rFonts w:eastAsiaTheme="minorEastAsia"/>
                <w:sz w:val="21"/>
                <w:szCs w:val="21"/>
              </w:rPr>
              <w:t>”</w:t>
            </w:r>
            <w:r>
              <w:rPr>
                <w:rFonts w:hAnsiTheme="minorEastAsia" w:eastAsiaTheme="minorEastAsia"/>
                <w:sz w:val="21"/>
                <w:szCs w:val="21"/>
              </w:rPr>
              <w:t>，识别了</w:t>
            </w:r>
            <w:r>
              <w:rPr>
                <w:rFonts w:hint="eastAsia" w:hAnsiTheme="minorEastAsia" w:eastAsiaTheme="minorEastAsia"/>
                <w:sz w:val="21"/>
                <w:szCs w:val="21"/>
              </w:rPr>
              <w:t>办公用电不当触电、热水烫伤、意外伤害、火灾</w:t>
            </w:r>
            <w:r>
              <w:rPr>
                <w:rFonts w:hAnsiTheme="minorEastAsia" w:eastAsiaTheme="minorEastAsia"/>
                <w:sz w:val="21"/>
                <w:szCs w:val="21"/>
              </w:rPr>
              <w:t>等危险源。</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查《不可接受风险清单》，涉及本部门的有</w:t>
            </w:r>
            <w:r>
              <w:rPr>
                <w:rFonts w:hint="eastAsia" w:eastAsiaTheme="minorEastAsia"/>
                <w:sz w:val="21"/>
                <w:szCs w:val="21"/>
              </w:rPr>
              <w:t>2</w:t>
            </w:r>
            <w:r>
              <w:rPr>
                <w:rFonts w:hAnsiTheme="minorEastAsia" w:eastAsiaTheme="minorEastAsia"/>
                <w:sz w:val="21"/>
                <w:szCs w:val="21"/>
              </w:rPr>
              <w:t>个不可接受风险，包括：潜在火灾、触电事故发生。</w:t>
            </w:r>
          </w:p>
          <w:p>
            <w:pPr>
              <w:tabs>
                <w:tab w:val="left" w:pos="6597"/>
              </w:tabs>
              <w:spacing w:line="240" w:lineRule="auto"/>
              <w:ind w:firstLine="420" w:firstLineChars="200"/>
              <w:rPr>
                <w:rFonts w:eastAsiaTheme="minorEastAsia"/>
                <w:sz w:val="21"/>
                <w:szCs w:val="21"/>
              </w:rPr>
            </w:pPr>
            <w:r>
              <w:rPr>
                <w:rFonts w:hAnsiTheme="minorEastAsia" w:eastAsiaTheme="minorEastAsia"/>
                <w:sz w:val="21"/>
                <w:szCs w:val="21"/>
              </w:rPr>
              <w:t>控制措施：危险源控制执行管理方案、配备消防器材、个体防护、日常检查、培训教育、应急预案等运行控制措施。</w:t>
            </w:r>
          </w:p>
          <w:p>
            <w:pPr>
              <w:pStyle w:val="2"/>
              <w:rPr>
                <w:rFonts w:hint="eastAsia" w:ascii="宋体" w:hAnsi="宋体" w:cs="宋体"/>
                <w:kern w:val="0"/>
                <w:sz w:val="21"/>
                <w:szCs w:val="21"/>
                <w:lang w:val="en-US" w:eastAsia="zh-CN"/>
              </w:rPr>
            </w:pPr>
            <w:r>
              <w:rPr>
                <w:rFonts w:hAnsiTheme="minorEastAsia" w:eastAsiaTheme="minorEastAsia"/>
                <w:sz w:val="21"/>
                <w:szCs w:val="21"/>
              </w:rPr>
              <w:t>部门识别和评价基本充分，符合规定要求。</w:t>
            </w:r>
          </w:p>
        </w:tc>
        <w:tc>
          <w:tcPr>
            <w:tcW w:w="1585" w:type="dxa"/>
            <w:vAlign w:val="top"/>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pPr>
              <w:spacing w:line="360" w:lineRule="auto"/>
              <w:rPr>
                <w:rFonts w:ascii="Times New Roman" w:hAnsi="Times New Roman" w:cs="Times New Roman"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运行策划和控制</w:t>
            </w:r>
          </w:p>
        </w:tc>
        <w:tc>
          <w:tcPr>
            <w:tcW w:w="960" w:type="dxa"/>
            <w:vAlign w:val="top"/>
          </w:tcPr>
          <w:p>
            <w:pPr>
              <w:spacing w:line="2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EO8.1</w:t>
            </w:r>
          </w:p>
        </w:tc>
        <w:tc>
          <w:tcPr>
            <w:tcW w:w="10004" w:type="dxa"/>
            <w:vAlign w:val="center"/>
          </w:tcPr>
          <w:p>
            <w:pPr>
              <w:rPr>
                <w:sz w:val="21"/>
                <w:szCs w:val="21"/>
              </w:rPr>
            </w:pPr>
            <w:r>
              <w:rPr>
                <w:rFonts w:hint="eastAsia"/>
                <w:sz w:val="21"/>
                <w:szCs w:val="21"/>
              </w:rPr>
              <w:t>本部门应执行的运行控制文件包括：产品</w:t>
            </w:r>
            <w:r>
              <w:rPr>
                <w:rFonts w:hint="eastAsia"/>
                <w:sz w:val="21"/>
                <w:szCs w:val="21"/>
                <w:lang w:val="en-US" w:eastAsia="zh-CN"/>
              </w:rPr>
              <w:t>采购</w:t>
            </w:r>
            <w:r>
              <w:rPr>
                <w:rFonts w:hint="eastAsia"/>
                <w:sz w:val="21"/>
                <w:szCs w:val="21"/>
              </w:rPr>
              <w:t>过程控制程序、环境</w:t>
            </w:r>
            <w:r>
              <w:rPr>
                <w:rFonts w:hint="eastAsia"/>
                <w:sz w:val="21"/>
                <w:szCs w:val="21"/>
                <w:lang w:val="en-US" w:eastAsia="zh-CN"/>
              </w:rPr>
              <w:t>安全</w:t>
            </w:r>
            <w:r>
              <w:rPr>
                <w:rFonts w:hint="eastAsia"/>
                <w:sz w:val="21"/>
                <w:szCs w:val="21"/>
              </w:rPr>
              <w:t>运行控制程序等。</w:t>
            </w:r>
          </w:p>
          <w:p>
            <w:pPr>
              <w:rPr>
                <w:sz w:val="21"/>
                <w:szCs w:val="21"/>
              </w:rPr>
            </w:pPr>
            <w:r>
              <w:rPr>
                <w:rFonts w:hint="eastAsia"/>
                <w:sz w:val="21"/>
                <w:szCs w:val="21"/>
              </w:rPr>
              <w:t>查运行控制情况：</w:t>
            </w:r>
          </w:p>
          <w:p>
            <w:pPr>
              <w:rPr>
                <w:sz w:val="21"/>
                <w:szCs w:val="21"/>
              </w:rPr>
            </w:pPr>
            <w:r>
              <w:rPr>
                <w:rFonts w:hint="eastAsia"/>
                <w:sz w:val="21"/>
                <w:szCs w:val="21"/>
              </w:rPr>
              <w:t>办公过程注意节约用电，</w:t>
            </w:r>
            <w:r>
              <w:rPr>
                <w:rFonts w:hint="eastAsia"/>
                <w:sz w:val="21"/>
                <w:szCs w:val="21"/>
                <w:lang w:val="en-US" w:eastAsia="zh-CN"/>
              </w:rPr>
              <w:t>采购</w:t>
            </w:r>
            <w:r>
              <w:rPr>
                <w:rFonts w:hint="eastAsia"/>
                <w:sz w:val="21"/>
                <w:szCs w:val="21"/>
              </w:rPr>
              <w:t>部做到人走灯灭，电脑长时间不用时关机，下班前要关闭电源；</w:t>
            </w:r>
          </w:p>
          <w:p>
            <w:pPr>
              <w:rPr>
                <w:sz w:val="21"/>
                <w:szCs w:val="21"/>
              </w:rPr>
            </w:pPr>
            <w:r>
              <w:rPr>
                <w:rFonts w:hint="eastAsia"/>
                <w:sz w:val="21"/>
                <w:szCs w:val="21"/>
              </w:rPr>
              <w:t xml:space="preserve">办公过程产生的固废按办公室要求放到指定地点，现场查看无混放现象；办公用品按要求由办公室负责发放，作好记录； </w:t>
            </w:r>
          </w:p>
          <w:p>
            <w:pPr>
              <w:rPr>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sz w:val="21"/>
                <w:szCs w:val="21"/>
              </w:rPr>
            </w:pPr>
            <w:r>
              <w:rPr>
                <w:rFonts w:hint="eastAsia"/>
                <w:sz w:val="21"/>
                <w:szCs w:val="21"/>
              </w:rPr>
              <w:t>在与</w:t>
            </w:r>
            <w:r>
              <w:rPr>
                <w:rFonts w:hint="eastAsia"/>
                <w:sz w:val="21"/>
                <w:szCs w:val="21"/>
                <w:lang w:eastAsia="zh-CN"/>
              </w:rPr>
              <w:t>供方</w:t>
            </w:r>
            <w:r>
              <w:rPr>
                <w:rFonts w:hint="eastAsia"/>
                <w:sz w:val="21"/>
                <w:szCs w:val="21"/>
              </w:rPr>
              <w:t>沟通和招投标时，通过选择适当时机向</w:t>
            </w:r>
            <w:r>
              <w:rPr>
                <w:rFonts w:hint="eastAsia"/>
                <w:sz w:val="21"/>
                <w:szCs w:val="21"/>
                <w:lang w:eastAsia="zh-CN"/>
              </w:rPr>
              <w:t>供方</w:t>
            </w:r>
            <w:r>
              <w:rPr>
                <w:rFonts w:hint="eastAsia"/>
                <w:sz w:val="21"/>
                <w:szCs w:val="21"/>
              </w:rPr>
              <w:t>宣传本公司的方针理念以及本公司的具体做法、成绩等，向</w:t>
            </w:r>
            <w:r>
              <w:rPr>
                <w:rFonts w:hint="eastAsia"/>
                <w:sz w:val="21"/>
                <w:szCs w:val="21"/>
                <w:lang w:eastAsia="zh-CN"/>
              </w:rPr>
              <w:t>供方</w:t>
            </w:r>
            <w:r>
              <w:rPr>
                <w:rFonts w:hint="eastAsia"/>
                <w:sz w:val="21"/>
                <w:szCs w:val="21"/>
              </w:rPr>
              <w:t>施加影响，增强</w:t>
            </w:r>
            <w:r>
              <w:rPr>
                <w:rFonts w:hint="eastAsia"/>
                <w:sz w:val="21"/>
                <w:szCs w:val="21"/>
                <w:lang w:eastAsia="zh-CN"/>
              </w:rPr>
              <w:t>供方</w:t>
            </w:r>
            <w:r>
              <w:rPr>
                <w:rFonts w:hint="eastAsia"/>
                <w:sz w:val="21"/>
                <w:szCs w:val="21"/>
              </w:rPr>
              <w:t>对本公司的信任程度。</w:t>
            </w:r>
          </w:p>
          <w:p>
            <w:pPr>
              <w:rPr>
                <w:sz w:val="21"/>
                <w:szCs w:val="21"/>
              </w:rPr>
            </w:pPr>
            <w:r>
              <w:rPr>
                <w:rFonts w:hint="eastAsia"/>
                <w:sz w:val="21"/>
                <w:szCs w:val="21"/>
              </w:rPr>
              <w:t>提供“相关方环境告知书”，包括原材料供方等，提供有“告知书”发放记录。</w:t>
            </w:r>
          </w:p>
          <w:p>
            <w:pPr>
              <w:rPr>
                <w:rFonts w:hint="eastAsia"/>
                <w:sz w:val="21"/>
                <w:szCs w:val="21"/>
              </w:rPr>
            </w:pPr>
            <w:r>
              <w:rPr>
                <w:rFonts w:hint="eastAsia"/>
                <w:sz w:val="21"/>
                <w:szCs w:val="21"/>
              </w:rPr>
              <w:t>现场办公室配置了灭火器，无火灾、触电隐患，废弃物无混放现象。</w:t>
            </w:r>
          </w:p>
          <w:p>
            <w:pPr>
              <w:pStyle w:val="2"/>
              <w:rPr>
                <w:rFonts w:hint="eastAsia" w:ascii="宋体" w:hAnsi="宋体" w:cs="宋体"/>
                <w:kern w:val="0"/>
                <w:sz w:val="21"/>
                <w:szCs w:val="21"/>
                <w:lang w:val="en-US" w:eastAsia="zh-CN"/>
              </w:rPr>
            </w:pPr>
          </w:p>
        </w:tc>
        <w:tc>
          <w:tcPr>
            <w:tcW w:w="1585" w:type="dxa"/>
            <w:vAlign w:val="top"/>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pPr>
              <w:spacing w:line="360" w:lineRule="auto"/>
              <w:rPr>
                <w:rFonts w:ascii="Times New Roman" w:hAnsi="Times New Roman" w:cs="Times New Roman" w:eastAsiaTheme="minorEastAsia"/>
                <w:kern w:val="2"/>
                <w:sz w:val="21"/>
                <w:szCs w:val="21"/>
                <w:lang w:val="en-US" w:eastAsia="zh-CN" w:bidi="ar-SA"/>
              </w:rPr>
            </w:pPr>
          </w:p>
        </w:tc>
      </w:tr>
    </w:tbl>
    <w:p>
      <w:pPr>
        <w:rPr>
          <w:sz w:val="21"/>
          <w:szCs w:val="21"/>
        </w:rPr>
      </w:pPr>
      <w:bookmarkStart w:id="1" w:name="_GoBack"/>
      <w:bookmarkEnd w:id="1"/>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7A76EE"/>
    <w:rsid w:val="03114066"/>
    <w:rsid w:val="082C1292"/>
    <w:rsid w:val="084560A8"/>
    <w:rsid w:val="097B1463"/>
    <w:rsid w:val="0B7A250D"/>
    <w:rsid w:val="0F9C1FA5"/>
    <w:rsid w:val="12F82587"/>
    <w:rsid w:val="1384574A"/>
    <w:rsid w:val="16CB7288"/>
    <w:rsid w:val="1831492F"/>
    <w:rsid w:val="1A2C70C8"/>
    <w:rsid w:val="1B2975C4"/>
    <w:rsid w:val="1B474608"/>
    <w:rsid w:val="20A83C14"/>
    <w:rsid w:val="217C17B0"/>
    <w:rsid w:val="21A63C04"/>
    <w:rsid w:val="222D627C"/>
    <w:rsid w:val="23627FFE"/>
    <w:rsid w:val="24D46CDA"/>
    <w:rsid w:val="27AF4F5B"/>
    <w:rsid w:val="2A2963E5"/>
    <w:rsid w:val="2BF8505C"/>
    <w:rsid w:val="2EC90F31"/>
    <w:rsid w:val="32963820"/>
    <w:rsid w:val="35563C98"/>
    <w:rsid w:val="38644049"/>
    <w:rsid w:val="391B682D"/>
    <w:rsid w:val="3AD60C39"/>
    <w:rsid w:val="3CC17802"/>
    <w:rsid w:val="4227214D"/>
    <w:rsid w:val="436815D6"/>
    <w:rsid w:val="44314E3C"/>
    <w:rsid w:val="443B3709"/>
    <w:rsid w:val="46463411"/>
    <w:rsid w:val="48710218"/>
    <w:rsid w:val="4D2E535A"/>
    <w:rsid w:val="4F811935"/>
    <w:rsid w:val="516923D4"/>
    <w:rsid w:val="521D6D1B"/>
    <w:rsid w:val="55504DBE"/>
    <w:rsid w:val="57703963"/>
    <w:rsid w:val="59FE3912"/>
    <w:rsid w:val="5A416933"/>
    <w:rsid w:val="5A4E44CD"/>
    <w:rsid w:val="5A7848A2"/>
    <w:rsid w:val="5A8021A7"/>
    <w:rsid w:val="5CB92F6E"/>
    <w:rsid w:val="5E6D0CBD"/>
    <w:rsid w:val="5FD56ED4"/>
    <w:rsid w:val="62892282"/>
    <w:rsid w:val="62EA32E1"/>
    <w:rsid w:val="6760172C"/>
    <w:rsid w:val="689505A9"/>
    <w:rsid w:val="68D221B5"/>
    <w:rsid w:val="693C3AD3"/>
    <w:rsid w:val="69F641E4"/>
    <w:rsid w:val="6B655563"/>
    <w:rsid w:val="6C9B7912"/>
    <w:rsid w:val="6CD82114"/>
    <w:rsid w:val="6FB70164"/>
    <w:rsid w:val="6FB70E68"/>
    <w:rsid w:val="6FFC0945"/>
    <w:rsid w:val="704D5607"/>
    <w:rsid w:val="70DF701C"/>
    <w:rsid w:val="717839A8"/>
    <w:rsid w:val="71EC0628"/>
    <w:rsid w:val="75602209"/>
    <w:rsid w:val="7C9E7265"/>
    <w:rsid w:val="7D292894"/>
    <w:rsid w:val="7E72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2021-11-19T08:16:14Z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