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浙江远大空分设备有限公司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de-DE"/>
              </w:rPr>
              <w:t>汪桂丽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合同签订——产品设计——原材料采购——组装——喷漆——调试——检验——包装——出/入库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特殊过程：焊接、喷漆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关键过程：调试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外包过程：无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噪声的排放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废水的排放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废气的排放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资源的消耗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潜在火灾事故的发生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危废弃物的排放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控制措施：管理方案和应急预案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职业伤害、触电、机械伤害、噪声、爆炸、化学品泄漏，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控制措施：管理方案、安全操作规程、作业指导书和应急预案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安全法、环境保护法、职业卫生防治法、消防法、</w:t>
            </w:r>
            <w:r>
              <w:rPr>
                <w:rFonts w:hint="eastAsia"/>
                <w:sz w:val="21"/>
                <w:szCs w:val="21"/>
              </w:rPr>
              <w:t>浙江省环境污染监督管理办法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44450</wp:posOffset>
                  </wp:positionV>
                  <wp:extent cx="734060" cy="618490"/>
                  <wp:effectExtent l="0" t="0" r="8890" b="10160"/>
                  <wp:wrapNone/>
                  <wp:docPr id="2" name="图片 2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C53463"/>
    <w:rsid w:val="6C267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2021-11-17T10:00:42Z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