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0694-2020-Q-2021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北京金海祁货运有限公司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北京金海祁货运有限公司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北京市通州区兴贸三街18号院19号楼1单元209</w:t>
            </w:r>
            <w:bookmarkEnd w:id="6"/>
          </w:p>
        </w:tc>
        <w:tc>
          <w:tcPr>
            <w:tcW w:w="1242" w:type="dxa"/>
            <w:vMerge w:val="restart"/>
            <w:vAlign w:val="center"/>
          </w:tcPr>
          <w:p>
            <w:r>
              <w:rPr>
                <w:rFonts w:hint="eastAsia"/>
              </w:rPr>
              <w:t>邮编</w:t>
            </w:r>
          </w:p>
        </w:tc>
        <w:tc>
          <w:tcPr>
            <w:tcW w:w="1771" w:type="dxa"/>
          </w:tcPr>
          <w:p>
            <w:bookmarkStart w:id="7" w:name="注册邮编"/>
            <w:r>
              <w:t>101102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北京市通州区兴贸三街18号院19号楼1单元209</w:t>
            </w:r>
            <w:bookmarkEnd w:id="8"/>
          </w:p>
        </w:tc>
        <w:tc>
          <w:tcPr>
            <w:tcW w:w="1242" w:type="dxa"/>
            <w:vMerge w:val="continue"/>
            <w:vAlign w:val="center"/>
          </w:tcPr>
          <w:p/>
        </w:tc>
        <w:tc>
          <w:tcPr>
            <w:tcW w:w="1771" w:type="dxa"/>
          </w:tcPr>
          <w:p>
            <w:bookmarkStart w:id="9" w:name="办公邮编"/>
            <w:r>
              <w:t>101102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龙翠青</w:t>
            </w:r>
            <w:bookmarkEnd w:id="10"/>
          </w:p>
        </w:tc>
        <w:tc>
          <w:tcPr>
            <w:tcW w:w="1313" w:type="dxa"/>
            <w:vAlign w:val="center"/>
          </w:tcPr>
          <w:p>
            <w:r>
              <w:rPr>
                <w:rFonts w:hint="eastAsia"/>
              </w:rPr>
              <w:t>电话.</w:t>
            </w:r>
          </w:p>
        </w:tc>
        <w:tc>
          <w:tcPr>
            <w:tcW w:w="2180" w:type="dxa"/>
            <w:vAlign w:val="center"/>
          </w:tcPr>
          <w:p>
            <w:bookmarkStart w:id="11" w:name="联系人电话"/>
            <w:r>
              <w:t>13641160264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龙翠青</w:t>
            </w:r>
            <w:bookmarkEnd w:id="13"/>
          </w:p>
        </w:tc>
        <w:tc>
          <w:tcPr>
            <w:tcW w:w="1313" w:type="dxa"/>
            <w:vAlign w:val="center"/>
          </w:tcPr>
          <w:p>
            <w:r>
              <w:rPr>
                <w:rFonts w:hint="eastAsia"/>
              </w:rPr>
              <w:t>管理者代表</w:t>
            </w:r>
          </w:p>
        </w:tc>
        <w:tc>
          <w:tcPr>
            <w:tcW w:w="2180" w:type="dxa"/>
          </w:tcPr>
          <w:p>
            <w:bookmarkStart w:id="14" w:name="管理者代表"/>
            <w:r>
              <w:t>龙翠青</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ascii="Times New Roman" w:hAnsi="Times New Roman" w:eastAsia="宋体" w:cs="Times New Roman"/>
              </w:rPr>
              <w:t>多班次说明</w:t>
            </w:r>
          </w:p>
        </w:tc>
        <w:tc>
          <w:tcPr>
            <w:tcW w:w="8058" w:type="dxa"/>
            <w:gridSpan w:val="5"/>
            <w:shd w:val="clear" w:color="auto" w:fill="auto"/>
          </w:tcPr>
          <w:p>
            <w:r>
              <w:rPr>
                <w:rFonts w:hint="eastAsia"/>
              </w:rPr>
              <w:t>受审核组织的班次：■单班□双班□三班□其他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jc w:val="left"/>
            </w:pPr>
            <w:r>
              <w:rPr>
                <w:rFonts w:hint="eastAsia" w:ascii="Times New Roman" w:hAnsi="Times New Roman" w:eastAsia="宋体" w:cs="Times New Roman"/>
                <w:lang w:val="en-US" w:eastAsia="zh-CN"/>
              </w:rPr>
              <w:t>电</w:t>
            </w:r>
            <w:r>
              <w:rPr>
                <w:rFonts w:hint="eastAsia" w:ascii="Times New Roman" w:hAnsi="Times New Roman" w:eastAsia="宋体" w:cs="Times New Roman"/>
              </w:rPr>
              <w:t>话洽谈→签订合同→车辆及人员安排→现场服务→客户验收→顾客满意度调</w:t>
            </w:r>
            <w:r>
              <w:rPr>
                <w:rFonts w:hint="eastAsia" w:ascii="Times New Roman" w:hAnsi="Times New Roman" w:eastAsia="宋体" w:cs="Times New Roman"/>
                <w:lang w:val="en-US" w:eastAsia="zh-CN"/>
              </w:rPr>
              <w:t>查</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2021年11月20日 上午至2021年11月20日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7" w:hRule="exact"/>
        </w:trPr>
        <w:tc>
          <w:tcPr>
            <w:tcW w:w="1632" w:type="dxa"/>
            <w:gridSpan w:val="2"/>
          </w:tcPr>
          <w:p>
            <w:r>
              <w:rPr>
                <w:rFonts w:hint="eastAsia"/>
              </w:rPr>
              <w:t>审核准则</w:t>
            </w:r>
          </w:p>
          <w:p/>
        </w:tc>
        <w:tc>
          <w:tcPr>
            <w:tcW w:w="7831" w:type="dxa"/>
            <w:gridSpan w:val="3"/>
            <w:tcMar>
              <w:left w:w="113" w:type="dxa"/>
            </w:tcMar>
          </w:tcPr>
          <w:p>
            <w:pPr>
              <w:rPr>
                <w:lang w:val="de-DE"/>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r>
              <w:rPr>
                <w:rFonts w:hint="eastAsia"/>
              </w:rPr>
              <w:t>■</w:t>
            </w:r>
            <w:r>
              <w:rPr>
                <w:rFonts w:hint="eastAsia"/>
                <w:lang w:val="de-DE"/>
              </w:rPr>
              <w:t>受审核方</w:t>
            </w:r>
            <w:r>
              <w:rPr>
                <w:rFonts w:hint="eastAsia"/>
              </w:rPr>
              <w:t>管理体系成文信息■顾客要求</w:t>
            </w:r>
          </w:p>
          <w:p>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北京市通州区兴贸三街18号院19号楼1单元209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许可范围内的普通货运</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31.04.01</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11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highlight w:val="none"/>
              </w:rPr>
              <w:t>有效至</w:t>
            </w:r>
            <w:r>
              <w:rPr>
                <w:rFonts w:hint="eastAsia"/>
                <w:highlight w:val="none"/>
                <w:lang w:val="en-US" w:eastAsia="zh-CN"/>
              </w:rPr>
              <w:t>2022</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15</w:t>
            </w:r>
            <w:r>
              <w:rPr>
                <w:rFonts w:hint="eastAsia"/>
                <w:highlight w:val="none"/>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北京金海祁货运有限公司</w:t>
            </w:r>
          </w:p>
          <w:p>
            <w:pPr>
              <w:pStyle w:val="2"/>
              <w:rPr>
                <w:lang w:val="de-DE" w:eastAsia="ja-JP"/>
              </w:rPr>
            </w:pPr>
            <w:r>
              <w:t>北京市通州区兴贸三街18号院19号楼1单元209</w:t>
            </w:r>
          </w:p>
        </w:tc>
        <w:tc>
          <w:tcPr>
            <w:tcW w:w="2267" w:type="dxa"/>
          </w:tcPr>
          <w:p>
            <w:pPr>
              <w:rPr>
                <w:lang w:val="de-DE" w:eastAsia="ja-JP"/>
              </w:rPr>
            </w:pPr>
            <w:r>
              <w:t>北京市通州区兴贸三街18号院19号楼1单元209</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lang w:eastAsia="ja-JP"/>
              </w:rPr>
            </w:pPr>
            <w:r>
              <w:rPr>
                <w:rFonts w:hint="eastAsia"/>
              </w:rPr>
              <w:t>许可范围内的普通货运</w:t>
            </w: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夏爱俭</w:t>
            </w:r>
          </w:p>
        </w:tc>
        <w:tc>
          <w:tcPr>
            <w:tcW w:w="1089" w:type="dxa"/>
            <w:vAlign w:val="center"/>
          </w:tcPr>
          <w:p>
            <w:r>
              <w:t>组长</w:t>
            </w:r>
          </w:p>
        </w:tc>
        <w:tc>
          <w:tcPr>
            <w:tcW w:w="711" w:type="dxa"/>
            <w:vAlign w:val="center"/>
          </w:tcPr>
          <w:p>
            <w:r>
              <w:t>女</w:t>
            </w:r>
          </w:p>
        </w:tc>
        <w:tc>
          <w:tcPr>
            <w:tcW w:w="3870" w:type="dxa"/>
            <w:vAlign w:val="center"/>
          </w:tcPr>
          <w:p>
            <w:r>
              <w:t>2020-N1QMS-1226516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张德银</w:t>
            </w:r>
          </w:p>
        </w:tc>
        <w:tc>
          <w:tcPr>
            <w:tcW w:w="1089" w:type="dxa"/>
            <w:vAlign w:val="center"/>
          </w:tcPr>
          <w:p>
            <w:r>
              <w:t>组员</w:t>
            </w:r>
          </w:p>
        </w:tc>
        <w:tc>
          <w:tcPr>
            <w:tcW w:w="711" w:type="dxa"/>
            <w:vAlign w:val="center"/>
          </w:tcPr>
          <w:p>
            <w:r>
              <w:t>男</w:t>
            </w:r>
          </w:p>
        </w:tc>
        <w:tc>
          <w:tcPr>
            <w:tcW w:w="3870" w:type="dxa"/>
            <w:vAlign w:val="center"/>
          </w:tcPr>
          <w:p>
            <w:r>
              <w:t>ISC-JSZJ-413</w:t>
            </w:r>
          </w:p>
          <w:p>
            <w:r>
              <w:t>北京宝恒通物流有限责任公司</w:t>
            </w:r>
          </w:p>
        </w:tc>
        <w:tc>
          <w:tcPr>
            <w:tcW w:w="2179" w:type="dxa"/>
            <w:vAlign w:val="center"/>
          </w:tcPr>
          <w:p>
            <w:r>
              <w:t>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jc w:val="center"/>
              <w:rPr>
                <w:rFonts w:hint="eastAsia" w:eastAsia="宋体"/>
                <w:lang w:val="en-US" w:eastAsia="zh-CN"/>
              </w:rPr>
            </w:pPr>
            <w:r>
              <w:rPr>
                <w:rFonts w:hint="eastAsia"/>
                <w:lang w:val="en-US" w:eastAsia="zh-CN"/>
              </w:rPr>
              <w:t>0</w:t>
            </w:r>
          </w:p>
        </w:tc>
        <w:tc>
          <w:tcPr>
            <w:tcW w:w="1717" w:type="dxa"/>
          </w:tcPr>
          <w:p>
            <w:pPr>
              <w:jc w:val="center"/>
              <w:rPr>
                <w:rFonts w:hint="default" w:eastAsia="宋体"/>
                <w:lang w:val="en-US" w:eastAsia="zh-CN"/>
              </w:rPr>
            </w:pPr>
            <w:r>
              <w:rPr>
                <w:rFonts w:hint="eastAsia"/>
                <w:lang w:val="en-US" w:eastAsia="zh-CN"/>
              </w:rPr>
              <w:t>0</w:t>
            </w:r>
          </w:p>
        </w:tc>
        <w:tc>
          <w:tcPr>
            <w:tcW w:w="1560" w:type="dxa"/>
          </w:tcPr>
          <w:p>
            <w:pPr>
              <w:jc w:val="cente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5"/>
        <w:gridCol w:w="2995"/>
        <w:gridCol w:w="2764"/>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25" w:type="dxa"/>
          </w:tcPr>
          <w:p>
            <w:r>
              <w:rPr>
                <w:rFonts w:hint="eastAsia"/>
              </w:rPr>
              <w:t>审核组长签字</w:t>
            </w:r>
          </w:p>
        </w:tc>
        <w:tc>
          <w:tcPr>
            <w:tcW w:w="2995" w:type="dxa"/>
            <w:tcMar>
              <w:left w:w="113" w:type="dxa"/>
            </w:tcMar>
          </w:tcPr>
          <w:p/>
          <w:p/>
        </w:tc>
        <w:tc>
          <w:tcPr>
            <w:tcW w:w="2764" w:type="dxa"/>
            <w:tcMar>
              <w:left w:w="113" w:type="dxa"/>
            </w:tcMar>
          </w:tcPr>
          <w:p>
            <w:r>
              <w:rPr>
                <w:rFonts w:hint="eastAsia"/>
              </w:rPr>
              <w:t>日期</w:t>
            </w:r>
          </w:p>
        </w:tc>
        <w:tc>
          <w:tcPr>
            <w:tcW w:w="262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keepNext w:val="0"/>
        <w:keepLines w:val="0"/>
        <w:pageBreakBefore/>
        <w:widowControl w:val="0"/>
        <w:kinsoku/>
        <w:wordWrap/>
        <w:overflowPunct/>
        <w:topLinePunct w:val="0"/>
        <w:autoSpaceDE/>
        <w:autoSpaceDN/>
        <w:bidi w:val="0"/>
        <w:adjustRightInd/>
        <w:snapToGrid/>
        <w:textAlignment w:val="auto"/>
        <w:rPr>
          <w:shd w:val="clear" w:color="FFFFFF" w:fill="D9D9D9"/>
        </w:rPr>
      </w:pPr>
      <w:r>
        <w:rPr>
          <w:shd w:val="clear" w:color="FFFFFF" w:fill="D9D9D9"/>
        </w:rPr>
        <w:t>附件</w:t>
      </w:r>
      <w:bookmarkStart w:id="31" w:name="_GoBack"/>
      <w:r>
        <w:rPr>
          <w:shd w:val="clear" w:color="FFFFFF" w:fill="D9D9D9"/>
        </w:rPr>
        <w:t xml:space="preserve">ISO 9001:2015 </w:t>
      </w:r>
      <w:bookmarkEnd w:id="31"/>
      <w:r>
        <w:rPr>
          <w:shd w:val="clear" w:color="FFFFFF" w:fill="D9D9D9"/>
        </w:rPr>
        <w:t>(若不是ISO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adjustRightInd w:val="0"/>
              <w:snapToGrid w:val="0"/>
              <w:spacing w:line="360" w:lineRule="auto"/>
              <w:jc w:val="left"/>
              <w:rPr>
                <w:rFonts w:hint="eastAsia"/>
                <w:b/>
                <w:sz w:val="36"/>
              </w:rPr>
            </w:pPr>
            <w:r>
              <w:rPr>
                <w:rFonts w:hint="eastAsia"/>
              </w:rPr>
              <w:t>最高管理者制定了</w:t>
            </w:r>
            <w:r>
              <w:rPr>
                <w:rFonts w:hint="eastAsia" w:ascii="Times New Roman" w:hAnsi="Times New Roman" w:eastAsia="宋体" w:cs="Times New Roman"/>
              </w:rPr>
              <w:t>文件化的管理体系方针：</w:t>
            </w:r>
            <w:r>
              <w:rPr>
                <w:rFonts w:hint="eastAsia" w:ascii="Times New Roman" w:hAnsi="Times New Roman" w:eastAsia="宋体" w:cs="Times New Roman"/>
                <w:b/>
                <w:bCs/>
              </w:rPr>
              <w:t>诚信服务；客户至上；  质量第一；持续改进。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本公司购置的设备性能优良，但需要持续维护。</w:t>
                  </w:r>
                </w:p>
              </w:tc>
              <w:tc>
                <w:tcPr>
                  <w:tcW w:w="3965" w:type="dxa"/>
                </w:tcPr>
                <w:p>
                  <w:pPr>
                    <w:shd w:val="clear" w:color="auto" w:fill="C7DAF1" w:themeFill="text2" w:themeFillTint="32"/>
                  </w:pPr>
                  <w:r>
                    <w:rPr>
                      <w:rFonts w:hint="eastAsia"/>
                    </w:rPr>
                    <w:t>加强维修保养，确保设备的性能和精度长期稳定。</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外来务工人员减少，招工难，用工成本增加。</w:t>
                  </w:r>
                </w:p>
              </w:tc>
              <w:tc>
                <w:tcPr>
                  <w:tcW w:w="3965" w:type="dxa"/>
                </w:tcPr>
                <w:p>
                  <w:pPr>
                    <w:shd w:val="clear" w:color="auto" w:fill="C7DAF1" w:themeFill="text2" w:themeFillTint="32"/>
                  </w:pPr>
                  <w:r>
                    <w:rPr>
                      <w:rFonts w:hint="eastAsia"/>
                    </w:rPr>
                    <w:t>人员招聘和培训</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本公司为质量稳定，但在市场中同行也多，而且同行大都是知名企业，竞争压力大。</w:t>
                  </w:r>
                </w:p>
              </w:tc>
              <w:tc>
                <w:tcPr>
                  <w:tcW w:w="3965" w:type="dxa"/>
                </w:tcPr>
                <w:p>
                  <w:pPr>
                    <w:shd w:val="clear" w:color="auto" w:fill="C7DAF1" w:themeFill="text2" w:themeFillTint="32"/>
                  </w:pPr>
                  <w:r>
                    <w:rPr>
                      <w:rFonts w:hint="eastAsia"/>
                    </w:rPr>
                    <w:t>加大市场开发</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imes New Roman" w:hAnsi="Times New Roman" w:cs="Times New Roman"/>
                    </w:rPr>
                  </w:pPr>
                  <w:r>
                    <w:rPr>
                      <w:rFonts w:hint="eastAsia" w:ascii="Times New Roman" w:hAnsi="Times New Roman" w:cs="Times New Roman"/>
                    </w:rPr>
                    <w:t>运输服务履约率100%</w:t>
                  </w:r>
                </w:p>
              </w:tc>
              <w:tc>
                <w:tcPr>
                  <w:tcW w:w="3136" w:type="dxa"/>
                  <w:shd w:val="clear" w:color="auto" w:fill="auto"/>
                  <w:vAlign w:val="center"/>
                </w:tcPr>
                <w:p>
                  <w:pPr>
                    <w:shd w:val="clear" w:color="auto" w:fill="C7DAF1" w:themeFill="text2" w:themeFillTint="32"/>
                    <w:rPr>
                      <w:rFonts w:hint="eastAsia" w:ascii="Times New Roman" w:hAnsi="Times New Roman" w:cs="Times New Roman"/>
                      <w:lang w:val="en-GB"/>
                    </w:rPr>
                  </w:pPr>
                  <w:r>
                    <w:rPr>
                      <w:rFonts w:hint="eastAsia" w:ascii="Times New Roman" w:hAnsi="Times New Roman" w:cs="Times New Roman"/>
                      <w:lang w:val="en-US" w:eastAsia="zh-CN"/>
                    </w:rPr>
                    <w:t>运输服务履约数/运输服务总数*100%</w:t>
                  </w:r>
                </w:p>
              </w:tc>
              <w:tc>
                <w:tcPr>
                  <w:tcW w:w="1350" w:type="dxa"/>
                  <w:shd w:val="clear" w:color="auto" w:fill="auto"/>
                  <w:vAlign w:val="center"/>
                </w:tcPr>
                <w:p>
                  <w:pPr>
                    <w:shd w:val="clear" w:color="auto" w:fill="C7DAF1" w:themeFill="text2" w:themeFillTint="32"/>
                    <w:rPr>
                      <w:rFonts w:hint="default" w:ascii="Times New Roman" w:hAnsi="Times New Roman" w:cs="Times New Roman"/>
                      <w:lang w:val="en-US" w:eastAsia="zh-CN"/>
                    </w:rPr>
                  </w:pPr>
                  <w:r>
                    <w:rPr>
                      <w:rFonts w:hint="eastAsia" w:ascii="Times New Roman" w:hAnsi="Times New Roman" w:cs="Times New Roman"/>
                      <w:lang w:val="en-US" w:eastAsia="zh-CN"/>
                    </w:rPr>
                    <w:t>运输部</w:t>
                  </w:r>
                </w:p>
              </w:tc>
              <w:tc>
                <w:tcPr>
                  <w:tcW w:w="1774" w:type="dxa"/>
                  <w:shd w:val="clear" w:color="auto" w:fill="auto"/>
                  <w:vAlign w:val="center"/>
                </w:tcPr>
                <w:p>
                  <w:pPr>
                    <w:shd w:val="clear" w:color="auto" w:fill="C7DAF1" w:themeFill="text2" w:themeFillTint="32"/>
                    <w:rPr>
                      <w:rFonts w:hint="default" w:ascii="Times New Roman" w:hAnsi="Times New Roman" w:cs="Times New Roman"/>
                      <w:lang w:val="en-US" w:eastAsia="zh-CN"/>
                    </w:rPr>
                  </w:pPr>
                  <w:r>
                    <w:rPr>
                      <w:rFonts w:hint="eastAsia" w:ascii="Times New Roman" w:hAnsi="Times New Roman"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imes New Roman" w:hAnsi="Times New Roman" w:cs="Times New Roman"/>
                      <w:lang w:val="en-US" w:eastAsia="zh-CN"/>
                    </w:rPr>
                  </w:pPr>
                  <w:r>
                    <w:rPr>
                      <w:rFonts w:hint="eastAsia" w:ascii="Times New Roman" w:hAnsi="Times New Roman" w:cs="Times New Roman"/>
                    </w:rPr>
                    <w:t>顾客的满意率≥90</w:t>
                  </w:r>
                  <w:r>
                    <w:rPr>
                      <w:rFonts w:hint="eastAsia" w:ascii="Times New Roman" w:hAnsi="Times New Roman" w:cs="Times New Roman"/>
                      <w:lang w:val="en-US" w:eastAsia="zh-CN"/>
                    </w:rPr>
                    <w:t>%</w:t>
                  </w:r>
                </w:p>
              </w:tc>
              <w:tc>
                <w:tcPr>
                  <w:tcW w:w="3136" w:type="dxa"/>
                  <w:shd w:val="clear" w:color="auto" w:fill="auto"/>
                  <w:vAlign w:val="center"/>
                </w:tcPr>
                <w:p>
                  <w:pPr>
                    <w:shd w:val="clear" w:color="auto" w:fill="C7DAF1" w:themeFill="text2" w:themeFillTint="32"/>
                    <w:rPr>
                      <w:rFonts w:hint="eastAsia" w:ascii="Times New Roman" w:hAnsi="Times New Roman" w:cs="Times New Roman"/>
                    </w:rPr>
                  </w:pPr>
                  <w:r>
                    <w:rPr>
                      <w:rFonts w:hint="eastAsia" w:ascii="Times New Roman" w:hAnsi="Times New Roman" w:cs="Times New Roman"/>
                    </w:rPr>
                    <w:t>（各项顾客满意率*权重）÷调查项目数</w:t>
                  </w:r>
                  <w:r>
                    <w:rPr>
                      <w:rFonts w:hint="eastAsia" w:ascii="Times New Roman" w:hAnsi="Times New Roman" w:cs="Times New Roman"/>
                      <w:lang w:val="en-US" w:eastAsia="zh-CN"/>
                    </w:rPr>
                    <w:t>*100%</w:t>
                  </w:r>
                </w:p>
              </w:tc>
              <w:tc>
                <w:tcPr>
                  <w:tcW w:w="1350" w:type="dxa"/>
                  <w:shd w:val="clear" w:color="auto" w:fill="auto"/>
                  <w:vAlign w:val="center"/>
                </w:tcPr>
                <w:p>
                  <w:pPr>
                    <w:shd w:val="clear" w:color="auto" w:fill="C7DAF1" w:themeFill="text2" w:themeFillTint="32"/>
                    <w:rPr>
                      <w:rFonts w:hint="default" w:ascii="Times New Roman" w:hAnsi="Times New Roman" w:cs="Times New Roman"/>
                      <w:lang w:val="en-US" w:eastAsia="zh-CN"/>
                    </w:rPr>
                  </w:pPr>
                  <w:r>
                    <w:rPr>
                      <w:rFonts w:hint="eastAsia" w:ascii="Times New Roman" w:hAnsi="Times New Roman" w:cs="Times New Roman"/>
                      <w:lang w:val="en-US" w:eastAsia="zh-CN"/>
                    </w:rPr>
                    <w:t>行政部</w:t>
                  </w:r>
                </w:p>
              </w:tc>
              <w:tc>
                <w:tcPr>
                  <w:tcW w:w="1774" w:type="dxa"/>
                  <w:shd w:val="clear" w:color="auto" w:fill="auto"/>
                  <w:vAlign w:val="center"/>
                </w:tcPr>
                <w:p>
                  <w:pPr>
                    <w:shd w:val="clear" w:color="auto" w:fill="C7DAF1" w:themeFill="text2" w:themeFillTint="32"/>
                    <w:rPr>
                      <w:rFonts w:hint="default" w:ascii="Times New Roman" w:hAnsi="Times New Roman" w:cs="Times New Roman"/>
                      <w:lang w:val="en-US" w:eastAsia="zh-CN"/>
                    </w:rPr>
                  </w:pPr>
                  <w:r>
                    <w:rPr>
                      <w:rFonts w:hint="eastAsia" w:ascii="Times New Roman" w:hAnsi="Times New Roman" w:cs="Times New Roman"/>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lang w:val="en-US" w:eastAsia="zh-CN"/>
              </w:rPr>
              <w:t>60</w:t>
            </w:r>
            <w:r>
              <w:rPr>
                <w:rFonts w:hint="eastAsia"/>
                <w:highlight w:val="none"/>
              </w:rPr>
              <w:t>平方米；库房</w:t>
            </w:r>
            <w:r>
              <w:rPr>
                <w:rFonts w:hint="eastAsia"/>
                <w:highlight w:val="none"/>
                <w:lang w:val="en-US" w:eastAsia="zh-CN"/>
              </w:rPr>
              <w:t>6000平</w:t>
            </w:r>
            <w:r>
              <w:rPr>
                <w:rFonts w:hint="eastAsia"/>
                <w:highlight w:val="none"/>
              </w:rPr>
              <w:t>；</w:t>
            </w:r>
          </w:p>
          <w:p>
            <w:pPr>
              <w:shd w:val="clear" w:color="auto" w:fill="C7DAF1" w:themeFill="text2" w:themeFillTint="32"/>
              <w:rPr>
                <w:rFonts w:hint="default"/>
                <w:highlight w:val="none"/>
                <w:u w:val="single"/>
                <w:lang w:val="en-US" w:eastAsia="zh-CN"/>
              </w:rPr>
            </w:pPr>
            <w:r>
              <w:rPr>
                <w:rFonts w:hint="eastAsia"/>
                <w:highlight w:val="none"/>
                <w:u w:val="none"/>
                <w:lang w:val="en-US" w:eastAsia="zh-CN"/>
              </w:rPr>
              <w:t>主要生产设备有：厢式运输车辆</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rPr>
              <w:t>¨</w:t>
            </w:r>
            <w:r>
              <w:rPr>
                <w:rFonts w:hint="eastAsia"/>
                <w:highlight w:val="none"/>
              </w:rPr>
              <w:t>叉车</w:t>
            </w:r>
            <w:r>
              <w:rPr>
                <w:rFonts w:hint="eastAsia" w:ascii="Wingdings" w:hAnsi="Wingdings"/>
                <w:highlight w:val="none"/>
              </w:rPr>
              <w:t>¨</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rPr>
              <w:t>¨</w:t>
            </w:r>
            <w:r>
              <w:rPr>
                <w:rFonts w:hint="eastAsia"/>
                <w:highlight w:val="none"/>
              </w:rPr>
              <w:t>进行了定期检验</w:t>
            </w:r>
            <w:r>
              <w:rPr>
                <w:rFonts w:hint="eastAsia" w:ascii="Wingdings" w:hAnsi="Wingdings"/>
                <w:highlight w:val="none"/>
              </w:rPr>
              <w:t>¨</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ascii="Wingdings" w:hAnsi="Wingdings"/>
                <w:lang w:val="en-US" w:eastAsia="zh-CN"/>
              </w:rPr>
              <w:t>生产</w:t>
            </w:r>
            <w:r>
              <w:rPr>
                <w:rFonts w:hint="eastAsia"/>
              </w:rPr>
              <w:t>经验</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highlight w:val="none"/>
                <w:lang w:eastAsia="zh-CN"/>
              </w:rPr>
            </w:pPr>
            <w:r>
              <w:rPr>
                <w:rFonts w:hint="eastAsia"/>
              </w:rPr>
              <w:t>特</w:t>
            </w:r>
            <w:r>
              <w:rPr>
                <w:rFonts w:hint="eastAsia"/>
                <w:highlight w:val="none"/>
              </w:rPr>
              <w:t>种作业人员：</w:t>
            </w:r>
            <w:r>
              <w:rPr>
                <w:rFonts w:hint="eastAsia" w:ascii="Wingdings" w:hAnsi="Wingdings"/>
                <w:highlight w:val="none"/>
                <w:lang w:val="en-US" w:eastAsia="zh-CN"/>
              </w:rPr>
              <w:t>无</w:t>
            </w:r>
          </w:p>
          <w:p>
            <w:pPr>
              <w:shd w:val="clear" w:color="auto" w:fill="C7DAF1" w:themeFill="text2" w:themeFillTint="32"/>
            </w:pPr>
            <w:r>
              <w:rPr>
                <w:rFonts w:hint="eastAsia"/>
                <w:highlight w:val="none"/>
              </w:rPr>
              <w:t>特种设备作业人员：</w:t>
            </w:r>
            <w:r>
              <w:rPr>
                <w:rFonts w:hint="eastAsia" w:ascii="Wingdings" w:hAnsi="Wingdings"/>
                <w:highlight w:val="none"/>
              </w:rPr>
              <w:t>¨</w:t>
            </w:r>
            <w:r>
              <w:rPr>
                <w:rFonts w:hint="eastAsia"/>
                <w:highlight w:val="none"/>
              </w:rPr>
              <w:t>叉车工</w:t>
            </w:r>
            <w:r>
              <w:rPr>
                <w:rFonts w:hint="eastAsia" w:ascii="Wingdings" w:hAnsi="Wingding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展板</w:t>
            </w:r>
            <w:r>
              <w:rPr>
                <w:rFonts w:hint="eastAsia" w:ascii="Wingdings" w:hAnsi="Wingdings"/>
              </w:rPr>
              <w:t>¨</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顾客要求</w:t>
            </w:r>
            <w:r>
              <w:rPr>
                <w:rFonts w:hint="eastAsia" w:ascii="Wingdings" w:hAnsi="Wingdings"/>
              </w:rPr>
              <w:t>¨</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eastAsia="宋体"/>
                <w:lang w:val="en-US" w:eastAsia="zh-CN"/>
              </w:rPr>
            </w:pPr>
            <w:r>
              <w:rPr>
                <w:rFonts w:hint="eastAsia"/>
              </w:rPr>
              <w:t>审核期间内设计和开发新产品/项目名称：</w:t>
            </w:r>
            <w:r>
              <w:rPr>
                <w:rFonts w:hint="eastAsia"/>
                <w:lang w:val="en-US" w:eastAsia="zh-CN"/>
              </w:rPr>
              <w:t>无</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rPr>
              <w:t>组</w:t>
            </w:r>
            <w:r>
              <w:rPr>
                <w:rFonts w:hint="eastAsia"/>
                <w:highlight w:val="none"/>
              </w:rPr>
              <w:t>织对外部提供的过程、产品和服务的供方按照对产品/服务质量的类型和程度实施控制。</w:t>
            </w:r>
          </w:p>
          <w:p>
            <w:pPr>
              <w:shd w:val="clear" w:color="auto" w:fill="C7DAF1" w:themeFill="text2" w:themeFillTint="32"/>
              <w:jc w:val="left"/>
              <w:rPr>
                <w:rFonts w:hint="default" w:eastAsia="宋体"/>
                <w:highlight w:val="none"/>
                <w:lang w:val="en-US" w:eastAsia="zh-CN"/>
              </w:rPr>
            </w:pPr>
            <w:r>
              <w:rPr>
                <w:rFonts w:hint="eastAsia"/>
                <w:highlight w:val="none"/>
              </w:rPr>
              <w:t>外部提供包括：其他</w:t>
            </w:r>
            <w:r>
              <w:rPr>
                <w:rFonts w:hint="eastAsia"/>
                <w:highlight w:val="none"/>
                <w:lang w:eastAsia="zh-CN"/>
              </w:rPr>
              <w:t>：</w:t>
            </w:r>
            <w:r>
              <w:rPr>
                <w:rFonts w:hint="eastAsia"/>
                <w:highlight w:val="none"/>
                <w:lang w:val="en-US" w:eastAsia="zh-CN"/>
              </w:rPr>
              <w:t>车辆维修和保养</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bCs w:val="0"/>
                      <w:kern w:val="10"/>
                      <w:lang w:eastAsia="zh-CN"/>
                    </w:rPr>
                    <w:t>许可范围内普通货运</w:t>
                  </w:r>
                </w:p>
              </w:tc>
              <w:tc>
                <w:tcPr>
                  <w:tcW w:w="3665" w:type="dxa"/>
                </w:tcPr>
                <w:p>
                  <w:pPr>
                    <w:shd w:val="clear" w:color="auto" w:fill="C7DAF1" w:themeFill="text2" w:themeFillTint="32"/>
                    <w:jc w:val="left"/>
                  </w:pPr>
                  <w:r>
                    <w:rPr>
                      <w:rFonts w:hint="eastAsia" w:ascii="Times New Roman" w:hAnsi="Times New Roman" w:cs="Times New Roman"/>
                      <w:lang w:val="en-US" w:eastAsia="zh-CN"/>
                    </w:rPr>
                    <w:t>业务受理、装卸准备、货物装卸</w:t>
                  </w:r>
                </w:p>
              </w:tc>
              <w:tc>
                <w:tcPr>
                  <w:tcW w:w="3265" w:type="dxa"/>
                </w:tcPr>
                <w:p>
                  <w:pPr>
                    <w:shd w:val="clear" w:color="auto" w:fill="C7DAF1" w:themeFill="text2" w:themeFillTint="32"/>
                    <w:jc w:val="left"/>
                  </w:pPr>
                  <w:r>
                    <w:rPr>
                      <w:rFonts w:hint="eastAsia" w:cs="Times New Roman"/>
                      <w:lang w:val="en-US" w:eastAsia="zh-CN"/>
                    </w:rPr>
                    <w:t>货</w:t>
                  </w:r>
                  <w:r>
                    <w:rPr>
                      <w:rFonts w:hint="eastAsia" w:ascii="Times New Roman" w:hAnsi="Times New Roman" w:cs="Times New Roman"/>
                      <w:lang w:val="en-US" w:eastAsia="zh-CN"/>
                    </w:rPr>
                    <w:t>物数量、货物吨位、价格、装卸</w:t>
                  </w:r>
                  <w:r>
                    <w:rPr>
                      <w:rFonts w:hint="eastAsia" w:cs="Times New Roman"/>
                      <w:lang w:val="en-US" w:eastAsia="zh-CN"/>
                    </w:rPr>
                    <w:t>货物类型</w:t>
                  </w:r>
                  <w:r>
                    <w:rPr>
                      <w:rFonts w:hint="eastAsia" w:ascii="Times New Roman" w:hAnsi="Times New Roman" w:cs="Times New Roman"/>
                      <w:lang w:eastAsia="zh-CN"/>
                    </w:rPr>
                    <w:t>、</w:t>
                  </w:r>
                  <w:r>
                    <w:rPr>
                      <w:rFonts w:hint="eastAsia" w:ascii="Times New Roman" w:hAnsi="Times New Roman" w:cs="Times New Roman"/>
                      <w:lang w:val="en-US" w:eastAsia="zh-CN"/>
                    </w:rPr>
                    <w:t>气候、装卸地点等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w:t>
            </w:r>
            <w:r>
              <w:rPr>
                <w:rFonts w:hint="eastAsia" w:ascii="Times New Roman" w:hAnsi="Times New Roman" w:cs="Times New Roman"/>
              </w:rPr>
              <w:t>程：运输服务过程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ascii="Wingdings" w:hAnsi="Wingdings"/>
              </w:rPr>
              <w:t>¨</w:t>
            </w:r>
            <w:r>
              <w:rPr>
                <w:rFonts w:hint="eastAsia"/>
              </w:rPr>
              <w:t>个人信息</w:t>
            </w:r>
            <w:r>
              <w:rPr>
                <w:rFonts w:hint="eastAsia" w:ascii="Wingdings" w:hAnsi="Wingdings"/>
              </w:rPr>
              <w:t>¨</w:t>
            </w:r>
            <w:r>
              <w:rPr>
                <w:rFonts w:hint="eastAsia"/>
              </w:rPr>
              <w:t>其他</w:t>
            </w:r>
            <w:r>
              <w:rPr>
                <w:rFonts w:hint="eastAsia"/>
                <w:lang w:eastAsia="zh-CN"/>
              </w:rPr>
              <w:t>：</w:t>
            </w:r>
            <w:r>
              <w:rPr>
                <w:rFonts w:hint="eastAsia"/>
                <w:lang w:val="en-US" w:eastAsia="zh-CN"/>
              </w:rPr>
              <w:t>运输的货物</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赔偿</w:t>
            </w:r>
            <w:r>
              <w:rPr>
                <w:rFonts w:hint="eastAsia" w:ascii="Wingdings" w:hAnsi="Wingdings"/>
              </w:rPr>
              <w:t>¨¨</w:t>
            </w:r>
            <w:r>
              <w:rPr>
                <w:rFonts w:hint="eastAsia"/>
              </w:rPr>
              <w:t>最终处置</w:t>
            </w:r>
            <w:r>
              <w:rPr>
                <w:rFonts w:hint="eastAsia" w:ascii="Wingdings" w:hAnsi="Wingdings"/>
              </w:rPr>
              <w:t>¨</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p>
          <w:p>
            <w:pPr>
              <w:shd w:val="clear" w:color="auto" w:fill="C7DAF1" w:themeFill="text2" w:themeFillTint="32"/>
            </w:pPr>
            <w:r>
              <w:rPr>
                <w:rFonts w:hint="eastAsia"/>
              </w:rPr>
              <w:t>《型式检验报告》，如：</w:t>
            </w:r>
            <w:r>
              <w:rPr>
                <w:rFonts w:hint="eastAsia"/>
                <w:lang w:val="en-US" w:eastAsia="zh-CN"/>
              </w:rPr>
              <w:t>无</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w:t>
            </w:r>
            <w:r>
              <w:rPr>
                <w:rFonts w:hint="eastAsia"/>
                <w:lang w:val="en-US" w:eastAsia="zh-CN"/>
              </w:rPr>
              <w:t>至16日</w:t>
            </w:r>
            <w:r>
              <w:rPr>
                <w:rFonts w:hint="eastAsia"/>
              </w:rPr>
              <w:t>实施了质量管理体系内部审核，对质量管理体系的符合性和有效性进行了审核。内审发现的项不符合在本次审核前已完成整改。在公司内完成的这些审核是可信的。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F53133"/>
    <w:rsid w:val="012B2A0D"/>
    <w:rsid w:val="027C3466"/>
    <w:rsid w:val="035B1952"/>
    <w:rsid w:val="03A03184"/>
    <w:rsid w:val="04180F6C"/>
    <w:rsid w:val="04555FE7"/>
    <w:rsid w:val="04BF3ADE"/>
    <w:rsid w:val="050E5D50"/>
    <w:rsid w:val="05727421"/>
    <w:rsid w:val="05C06F07"/>
    <w:rsid w:val="07A55010"/>
    <w:rsid w:val="08144141"/>
    <w:rsid w:val="0C486A95"/>
    <w:rsid w:val="0E5E6115"/>
    <w:rsid w:val="116B5137"/>
    <w:rsid w:val="13885960"/>
    <w:rsid w:val="138A6924"/>
    <w:rsid w:val="15FE7CC8"/>
    <w:rsid w:val="16D93E09"/>
    <w:rsid w:val="176C5248"/>
    <w:rsid w:val="18F356AC"/>
    <w:rsid w:val="19DA614D"/>
    <w:rsid w:val="1AF51BB0"/>
    <w:rsid w:val="1EA932A4"/>
    <w:rsid w:val="21933ED0"/>
    <w:rsid w:val="231150AD"/>
    <w:rsid w:val="24727DCD"/>
    <w:rsid w:val="27565784"/>
    <w:rsid w:val="28D1231D"/>
    <w:rsid w:val="2A5F1F2B"/>
    <w:rsid w:val="2CE14A2C"/>
    <w:rsid w:val="2CFD576A"/>
    <w:rsid w:val="31830494"/>
    <w:rsid w:val="31F134B7"/>
    <w:rsid w:val="38B53F37"/>
    <w:rsid w:val="38C06412"/>
    <w:rsid w:val="38F17726"/>
    <w:rsid w:val="3B5372C2"/>
    <w:rsid w:val="3C0B2B89"/>
    <w:rsid w:val="3F946BBD"/>
    <w:rsid w:val="43541803"/>
    <w:rsid w:val="436448D2"/>
    <w:rsid w:val="4516031F"/>
    <w:rsid w:val="45B22EF9"/>
    <w:rsid w:val="4E807E11"/>
    <w:rsid w:val="51B7313F"/>
    <w:rsid w:val="542301E1"/>
    <w:rsid w:val="55251466"/>
    <w:rsid w:val="59AC439D"/>
    <w:rsid w:val="5BB97354"/>
    <w:rsid w:val="5C2A2760"/>
    <w:rsid w:val="5E57653F"/>
    <w:rsid w:val="5F702B80"/>
    <w:rsid w:val="60536729"/>
    <w:rsid w:val="60E43825"/>
    <w:rsid w:val="616033C1"/>
    <w:rsid w:val="641C32D6"/>
    <w:rsid w:val="667B0788"/>
    <w:rsid w:val="66E3632D"/>
    <w:rsid w:val="67E343A6"/>
    <w:rsid w:val="67F1253D"/>
    <w:rsid w:val="68537484"/>
    <w:rsid w:val="6A421B43"/>
    <w:rsid w:val="6B7535D8"/>
    <w:rsid w:val="6BA04CE7"/>
    <w:rsid w:val="6BE707AB"/>
    <w:rsid w:val="6CCF7A37"/>
    <w:rsid w:val="6F4A50EE"/>
    <w:rsid w:val="701D07E2"/>
    <w:rsid w:val="70D93E5D"/>
    <w:rsid w:val="7117798C"/>
    <w:rsid w:val="71386380"/>
    <w:rsid w:val="71D732DF"/>
    <w:rsid w:val="72710C91"/>
    <w:rsid w:val="72AC4779"/>
    <w:rsid w:val="72D97413"/>
    <w:rsid w:val="758A1FF2"/>
    <w:rsid w:val="77EE7DDD"/>
    <w:rsid w:val="79147CB3"/>
    <w:rsid w:val="79FD5487"/>
    <w:rsid w:val="7A084A0D"/>
    <w:rsid w:val="7DCC045C"/>
    <w:rsid w:val="7EDB0C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页眉 Char"/>
    <w:qFormat/>
    <w:uiPriority w:val="0"/>
    <w:rPr>
      <w:kern w:val="2"/>
      <w:sz w:val="18"/>
      <w:szCs w:val="18"/>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62</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晨露</cp:lastModifiedBy>
  <cp:lastPrinted>2019-05-13T03:19:00Z</cp:lastPrinted>
  <dcterms:modified xsi:type="dcterms:W3CDTF">2021-11-20T03:02:43Z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