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sz w:val="44"/>
          <w:szCs w:val="44"/>
        </w:rPr>
      </w:pPr>
      <w:r>
        <w:rPr>
          <w:rFonts w:hint="eastAsia" w:ascii="隶书" w:hAnsi="宋体" w:eastAsia="隶书"/>
          <w:bCs/>
          <w:sz w:val="44"/>
          <w:szCs w:val="44"/>
        </w:rPr>
        <w:t>管理体系审核记录表</w:t>
      </w:r>
    </w:p>
    <w:tbl>
      <w:tblPr>
        <w:tblStyle w:val="1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395"/>
        <w:gridCol w:w="10248"/>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vMerge w:val="restart"/>
            <w:vAlign w:val="center"/>
          </w:tcPr>
          <w:p>
            <w:pPr>
              <w:spacing w:before="120"/>
              <w:jc w:val="center"/>
              <w:rPr>
                <w:rFonts w:ascii="楷体_GB2312" w:hAnsi="楷体" w:eastAsia="楷体_GB2312"/>
                <w:b/>
                <w:bCs/>
                <w:sz w:val="24"/>
                <w:szCs w:val="24"/>
              </w:rPr>
            </w:pPr>
            <w:r>
              <w:rPr>
                <w:rFonts w:hint="eastAsia" w:ascii="楷体_GB2312" w:hAnsi="楷体" w:eastAsia="楷体_GB2312"/>
                <w:b/>
                <w:bCs/>
                <w:sz w:val="24"/>
                <w:szCs w:val="24"/>
              </w:rPr>
              <w:t>过程与活动、</w:t>
            </w:r>
          </w:p>
          <w:p>
            <w:pPr>
              <w:jc w:val="center"/>
              <w:rPr>
                <w:rFonts w:ascii="楷体_GB2312" w:hAnsi="楷体" w:eastAsia="楷体_GB2312"/>
                <w:b/>
                <w:bCs/>
                <w:sz w:val="24"/>
                <w:szCs w:val="24"/>
              </w:rPr>
            </w:pPr>
            <w:r>
              <w:rPr>
                <w:rFonts w:hint="eastAsia" w:ascii="楷体_GB2312" w:hAnsi="楷体" w:eastAsia="楷体_GB2312"/>
                <w:b/>
                <w:bCs/>
                <w:sz w:val="24"/>
                <w:szCs w:val="24"/>
              </w:rPr>
              <w:t>抽样计划</w:t>
            </w:r>
          </w:p>
        </w:tc>
        <w:tc>
          <w:tcPr>
            <w:tcW w:w="1355" w:type="dxa"/>
            <w:vMerge w:val="restart"/>
            <w:vAlign w:val="center"/>
          </w:tcPr>
          <w:p>
            <w:pPr>
              <w:rPr>
                <w:rFonts w:ascii="楷体_GB2312" w:hAnsi="楷体" w:eastAsia="楷体_GB2312"/>
                <w:b/>
                <w:bCs/>
                <w:sz w:val="24"/>
                <w:szCs w:val="24"/>
              </w:rPr>
            </w:pPr>
            <w:r>
              <w:rPr>
                <w:rFonts w:hint="eastAsia" w:ascii="楷体_GB2312" w:hAnsi="楷体" w:eastAsia="楷体_GB2312"/>
                <w:b/>
                <w:bCs/>
                <w:sz w:val="24"/>
                <w:szCs w:val="24"/>
              </w:rPr>
              <w:t>涉及条款</w:t>
            </w:r>
          </w:p>
        </w:tc>
        <w:tc>
          <w:tcPr>
            <w:tcW w:w="9956" w:type="dxa"/>
            <w:vAlign w:val="center"/>
          </w:tcPr>
          <w:p>
            <w:pPr>
              <w:pStyle w:val="21"/>
              <w:rPr>
                <w:rFonts w:ascii="楷体_GB2312" w:hAnsi="楷体" w:eastAsia="楷体_GB2312"/>
                <w:b/>
                <w:spacing w:val="0"/>
                <w:sz w:val="24"/>
                <w:szCs w:val="24"/>
              </w:rPr>
            </w:pPr>
            <w:r>
              <w:rPr>
                <w:rFonts w:hint="eastAsia" w:ascii="楷体_GB2312" w:hAnsi="楷体" w:eastAsia="楷体_GB2312"/>
                <w:b/>
                <w:spacing w:val="0"/>
                <w:sz w:val="24"/>
                <w:szCs w:val="24"/>
              </w:rPr>
              <w:t xml:space="preserve">受审核部门：综合部 </w:t>
            </w:r>
            <w:r>
              <w:rPr>
                <w:rFonts w:ascii="楷体_GB2312" w:hAnsi="楷体" w:eastAsia="楷体_GB2312"/>
                <w:b/>
                <w:spacing w:val="0"/>
                <w:sz w:val="24"/>
                <w:szCs w:val="24"/>
              </w:rPr>
              <w:t xml:space="preserve"> </w:t>
            </w:r>
            <w:r>
              <w:rPr>
                <w:rFonts w:hint="eastAsia" w:ascii="楷体_GB2312" w:hAnsi="楷体" w:eastAsia="楷体_GB2312"/>
                <w:b/>
                <w:spacing w:val="0"/>
                <w:sz w:val="24"/>
                <w:szCs w:val="24"/>
              </w:rPr>
              <w:t xml:space="preserve"> </w:t>
            </w:r>
            <w:r>
              <w:rPr>
                <w:rFonts w:ascii="楷体_GB2312" w:hAnsi="楷体" w:eastAsia="楷体_GB2312"/>
                <w:b/>
                <w:spacing w:val="0"/>
                <w:sz w:val="24"/>
                <w:szCs w:val="24"/>
              </w:rPr>
              <w:t xml:space="preserve"> </w:t>
            </w:r>
            <w:r>
              <w:rPr>
                <w:rFonts w:hint="eastAsia" w:ascii="楷体_GB2312" w:hAnsi="楷体" w:eastAsia="楷体_GB2312"/>
                <w:b/>
                <w:spacing w:val="0"/>
                <w:sz w:val="24"/>
                <w:szCs w:val="24"/>
              </w:rPr>
              <w:t>主管领导/陪同人员：辛红霞（管代/综合部经理）</w:t>
            </w:r>
          </w:p>
        </w:tc>
        <w:tc>
          <w:tcPr>
            <w:tcW w:w="1148" w:type="dxa"/>
            <w:vMerge w:val="restart"/>
            <w:vAlign w:val="center"/>
          </w:tcPr>
          <w:p>
            <w:pPr>
              <w:jc w:val="center"/>
              <w:rPr>
                <w:rFonts w:ascii="楷体_GB2312" w:hAnsi="楷体" w:eastAsia="楷体_GB2312"/>
                <w:b/>
                <w:bCs/>
                <w:sz w:val="24"/>
                <w:szCs w:val="24"/>
              </w:rPr>
            </w:pPr>
            <w:r>
              <w:rPr>
                <w:rFonts w:hint="eastAsia" w:ascii="楷体_GB2312" w:hAnsi="楷体" w:eastAsia="楷体_GB2312"/>
                <w:b/>
                <w:bCs/>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vMerge w:val="continue"/>
            <w:vAlign w:val="center"/>
          </w:tcPr>
          <w:p>
            <w:pPr>
              <w:rPr>
                <w:rFonts w:ascii="楷体_GB2312" w:hAnsi="楷体" w:eastAsia="楷体_GB2312"/>
                <w:sz w:val="24"/>
                <w:szCs w:val="24"/>
              </w:rPr>
            </w:pPr>
          </w:p>
        </w:tc>
        <w:tc>
          <w:tcPr>
            <w:tcW w:w="1355" w:type="dxa"/>
            <w:vMerge w:val="continue"/>
            <w:vAlign w:val="center"/>
          </w:tcPr>
          <w:p>
            <w:pPr>
              <w:rPr>
                <w:rFonts w:ascii="楷体_GB2312" w:hAnsi="楷体" w:eastAsia="楷体_GB2312"/>
                <w:sz w:val="24"/>
                <w:szCs w:val="24"/>
              </w:rPr>
            </w:pPr>
          </w:p>
        </w:tc>
        <w:tc>
          <w:tcPr>
            <w:tcW w:w="9956" w:type="dxa"/>
            <w:vAlign w:val="center"/>
          </w:tcPr>
          <w:p>
            <w:pPr>
              <w:pStyle w:val="21"/>
              <w:rPr>
                <w:rFonts w:ascii="楷体_GB2312" w:hAnsi="楷体" w:eastAsia="楷体_GB2312"/>
                <w:b/>
                <w:spacing w:val="0"/>
                <w:sz w:val="24"/>
                <w:szCs w:val="24"/>
              </w:rPr>
            </w:pPr>
            <w:r>
              <w:rPr>
                <w:rFonts w:hint="eastAsia" w:ascii="楷体_GB2312" w:hAnsi="楷体" w:eastAsia="楷体_GB2312"/>
                <w:b/>
                <w:spacing w:val="0"/>
                <w:sz w:val="24"/>
                <w:szCs w:val="24"/>
              </w:rPr>
              <w:t>审核员：</w:t>
            </w:r>
            <w:r>
              <w:rPr>
                <w:rFonts w:hint="eastAsia" w:ascii="楷体_GB2312" w:hAnsi="楷体" w:eastAsia="楷体_GB2312"/>
                <w:b/>
                <w:sz w:val="24"/>
                <w:szCs w:val="24"/>
              </w:rPr>
              <w:t xml:space="preserve"> 张磊  宋翠琳（EO实习）</w:t>
            </w:r>
            <w:r>
              <w:rPr>
                <w:rFonts w:hint="eastAsia" w:ascii="楷体_GB2312" w:hAnsi="楷体" w:eastAsia="楷体_GB2312"/>
                <w:b/>
                <w:spacing w:val="0"/>
                <w:sz w:val="24"/>
                <w:szCs w:val="24"/>
              </w:rPr>
              <w:t xml:space="preserve">  审核时间：2021.11.16  9:00-12:00/13:00-17:00</w:t>
            </w:r>
          </w:p>
        </w:tc>
        <w:tc>
          <w:tcPr>
            <w:tcW w:w="1148" w:type="dxa"/>
            <w:vMerge w:val="continue"/>
          </w:tcPr>
          <w:p>
            <w:pPr>
              <w:rPr>
                <w:rFonts w:ascii="楷体_GB2312" w:hAnsi="楷体" w:eastAsia="楷体_GB2312"/>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4" w:hRule="atLeast"/>
          <w:jc w:val="center"/>
        </w:trPr>
        <w:tc>
          <w:tcPr>
            <w:tcW w:w="1872" w:type="dxa"/>
            <w:vMerge w:val="continue"/>
            <w:vAlign w:val="center"/>
          </w:tcPr>
          <w:p>
            <w:pPr>
              <w:rPr>
                <w:rFonts w:ascii="楷体_GB2312" w:hAnsi="楷体" w:eastAsia="楷体_GB2312"/>
                <w:color w:val="FF0000"/>
                <w:sz w:val="24"/>
                <w:szCs w:val="24"/>
              </w:rPr>
            </w:pPr>
          </w:p>
        </w:tc>
        <w:tc>
          <w:tcPr>
            <w:tcW w:w="1355" w:type="dxa"/>
            <w:vMerge w:val="continue"/>
            <w:vAlign w:val="center"/>
          </w:tcPr>
          <w:p>
            <w:pPr>
              <w:rPr>
                <w:rFonts w:ascii="楷体_GB2312" w:hAnsi="楷体" w:eastAsia="楷体_GB2312"/>
                <w:color w:val="FF0000"/>
                <w:sz w:val="24"/>
                <w:szCs w:val="24"/>
              </w:rPr>
            </w:pPr>
          </w:p>
        </w:tc>
        <w:tc>
          <w:tcPr>
            <w:tcW w:w="9956" w:type="dxa"/>
            <w:vAlign w:val="center"/>
          </w:tcPr>
          <w:p>
            <w:pPr>
              <w:pStyle w:val="21"/>
              <w:rPr>
                <w:rFonts w:hint="eastAsia" w:ascii="楷体" w:hAnsi="楷体" w:eastAsia="楷体" w:cs="Times New Roman"/>
                <w:bCs w:val="0"/>
                <w:spacing w:val="0"/>
                <w:kern w:val="2"/>
                <w:sz w:val="24"/>
                <w:szCs w:val="24"/>
                <w:lang w:val="en-US" w:eastAsia="zh-CN" w:bidi="ar-SA"/>
              </w:rPr>
            </w:pPr>
            <w:r>
              <w:rPr>
                <w:rFonts w:hint="eastAsia" w:ascii="楷体" w:hAnsi="楷体" w:eastAsia="楷体" w:cs="Times New Roman"/>
                <w:bCs w:val="0"/>
                <w:spacing w:val="0"/>
                <w:kern w:val="2"/>
                <w:sz w:val="24"/>
                <w:szCs w:val="24"/>
                <w:lang w:val="de-DE" w:eastAsia="zh-CN" w:bidi="ar-SA"/>
              </w:rPr>
              <w:t>QMS-2015</w:t>
            </w:r>
            <w:r>
              <w:rPr>
                <w:rFonts w:hint="eastAsia" w:ascii="楷体" w:hAnsi="楷体" w:eastAsia="楷体" w:cs="Times New Roman"/>
                <w:bCs w:val="0"/>
                <w:spacing w:val="0"/>
                <w:kern w:val="2"/>
                <w:sz w:val="24"/>
                <w:szCs w:val="24"/>
                <w:lang w:val="en-US" w:eastAsia="zh-CN" w:bidi="ar-SA"/>
              </w:rPr>
              <w:t>:5.3岗位/职责 /权限；6.2质量目标及其实现的策划；7.1.2人员； 7.1.6组织知识；7.2能力；7.3意识；7.5文件化信息；8.4外部提供过程、产品和服务的控制、9.1.1监视、测量、分析和评价总则；9.1.3分析与评价；9.2内部审核；10.2纠正措施；</w:t>
            </w:r>
          </w:p>
          <w:p>
            <w:pPr>
              <w:pStyle w:val="21"/>
              <w:rPr>
                <w:rFonts w:ascii="楷体_GB2312" w:hAnsi="楷体" w:eastAsia="楷体_GB2312"/>
                <w:bCs w:val="0"/>
                <w:spacing w:val="0"/>
                <w:sz w:val="24"/>
                <w:szCs w:val="24"/>
              </w:rPr>
            </w:pPr>
            <w:r>
              <w:rPr>
                <w:rFonts w:hint="eastAsia" w:ascii="楷体_GB2312" w:hAnsi="楷体" w:eastAsia="楷体_GB2312"/>
                <w:bCs w:val="0"/>
                <w:spacing w:val="0"/>
                <w:sz w:val="24"/>
                <w:szCs w:val="24"/>
                <w:lang w:val="de-DE"/>
              </w:rPr>
              <w:t>EMS 14001-2015：</w:t>
            </w:r>
            <w:r>
              <w:rPr>
                <w:rFonts w:hint="eastAsia" w:ascii="楷体_GB2312" w:hAnsi="楷体" w:eastAsia="楷体_GB2312"/>
                <w:bCs w:val="0"/>
                <w:spacing w:val="0"/>
                <w:sz w:val="24"/>
                <w:szCs w:val="24"/>
              </w:rPr>
              <w:t>5.3组织的角色、职责和权限; 6.1.2环境因素；6.1.3合规义务；6.1.4措施的策划；6.2.1环境目标；6.2.2实现环境目标措施的策划；7.2能力；7.3意识；7.4信息交流；7.5.1形成文件的信息总则；7.5.2形成文件的信息的创建和更新；7.5.3形成文件的信息的控制；8.1运行策划和控制；8.2应急准备和响应；9.1.1监视、测量、分析和评价总则；9.1.2合规性评价；9.2内部审核；10.2不符合和纠正措施；</w:t>
            </w:r>
          </w:p>
          <w:p>
            <w:pPr>
              <w:pStyle w:val="21"/>
              <w:rPr>
                <w:rFonts w:ascii="楷体_GB2312" w:hAnsi="楷体" w:eastAsia="楷体_GB2312"/>
                <w:bCs w:val="0"/>
                <w:spacing w:val="0"/>
                <w:sz w:val="24"/>
                <w:szCs w:val="24"/>
              </w:rPr>
            </w:pPr>
            <w:r>
              <w:rPr>
                <w:rFonts w:hint="eastAsia" w:ascii="楷体_GB2312" w:hAnsi="楷体" w:eastAsia="楷体_GB2312"/>
                <w:bCs w:val="0"/>
                <w:spacing w:val="0"/>
                <w:sz w:val="24"/>
                <w:szCs w:val="24"/>
              </w:rPr>
              <w:t xml:space="preserve">OHSMS </w:t>
            </w:r>
            <w:r>
              <w:rPr>
                <w:rFonts w:hint="eastAsia" w:ascii="楷体_GB2312" w:hAnsi="楷体" w:eastAsia="楷体_GB2312"/>
                <w:bCs w:val="0"/>
                <w:spacing w:val="0"/>
                <w:sz w:val="24"/>
                <w:szCs w:val="24"/>
                <w:lang w:val="de-DE"/>
              </w:rPr>
              <w:t>45001</w:t>
            </w:r>
            <w:r>
              <w:rPr>
                <w:rFonts w:hint="eastAsia" w:ascii="楷体_GB2312" w:hAnsi="楷体" w:eastAsia="楷体_GB2312"/>
                <w:bCs w:val="0"/>
                <w:spacing w:val="0"/>
                <w:sz w:val="24"/>
                <w:szCs w:val="24"/>
              </w:rPr>
              <w:t>-2018</w:t>
            </w:r>
            <w:r>
              <w:rPr>
                <w:rFonts w:hint="eastAsia" w:ascii="楷体_GB2312" w:hAnsi="楷体" w:eastAsia="楷体_GB2312"/>
                <w:bCs w:val="0"/>
                <w:spacing w:val="0"/>
                <w:sz w:val="24"/>
                <w:szCs w:val="24"/>
                <w:lang w:val="de-DE"/>
              </w:rPr>
              <w:t>：</w:t>
            </w:r>
            <w:r>
              <w:rPr>
                <w:rFonts w:hint="eastAsia" w:ascii="楷体_GB2312" w:hAnsi="楷体" w:eastAsia="楷体_GB2312"/>
                <w:bCs w:val="0"/>
                <w:spacing w:val="0"/>
                <w:sz w:val="24"/>
                <w:szCs w:val="24"/>
              </w:rPr>
              <w:t>5.3组织的角色、职责和权限；6.1.2危险源辨识和职业安全风险评价；6.1.3法律法规要求和其他要求的确定；6.1.4措施的策划；6.2.1目标；6.2.2实现职业健康安全目标措施的策划；7.2能力；7.3意识；7.4沟通；7.5.1形成文件的信息总则；7.5.2形成文件的信息的创建和更新；7.5.3形成文件的信息的控制；8.1运行策划和控制；8.2应急准备和响应；9.1.1监视、测量、分析和评价总则；9.1.2 合规性评价；9.2内部审核；10.2事件、不符合和纠正措施。</w:t>
            </w:r>
          </w:p>
        </w:tc>
        <w:tc>
          <w:tcPr>
            <w:tcW w:w="1148" w:type="dxa"/>
            <w:vMerge w:val="continue"/>
          </w:tcPr>
          <w:p>
            <w:pPr>
              <w:rPr>
                <w:rFonts w:ascii="楷体_GB2312" w:hAnsi="楷体" w:eastAsia="楷体_GB2312"/>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8" w:hRule="atLeast"/>
          <w:jc w:val="center"/>
        </w:trPr>
        <w:tc>
          <w:tcPr>
            <w:tcW w:w="1872"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rPr>
              <w:t>组织的岗位职责和权限</w:t>
            </w:r>
          </w:p>
          <w:p>
            <w:pPr>
              <w:spacing w:line="280" w:lineRule="exact"/>
              <w:rPr>
                <w:rFonts w:ascii="楷体_GB2312" w:hAnsi="楷体" w:eastAsia="楷体_GB2312"/>
                <w:b/>
                <w:sz w:val="24"/>
                <w:szCs w:val="24"/>
              </w:rPr>
            </w:pPr>
          </w:p>
        </w:tc>
        <w:tc>
          <w:tcPr>
            <w:tcW w:w="1355"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lang w:val="en-US" w:eastAsia="zh-CN"/>
              </w:rPr>
              <w:t>Q</w:t>
            </w:r>
            <w:r>
              <w:rPr>
                <w:rFonts w:hint="eastAsia" w:ascii="楷体_GB2312" w:hAnsi="楷体" w:eastAsia="楷体_GB2312" w:cs="宋体"/>
                <w:kern w:val="0"/>
                <w:sz w:val="24"/>
                <w:szCs w:val="24"/>
              </w:rPr>
              <w:t>EO 5.3</w:t>
            </w:r>
          </w:p>
          <w:p>
            <w:pPr>
              <w:spacing w:line="280" w:lineRule="exact"/>
              <w:rPr>
                <w:rFonts w:ascii="楷体_GB2312" w:hAnsi="楷体" w:eastAsia="楷体_GB2312" w:cs="宋体"/>
                <w:kern w:val="0"/>
                <w:sz w:val="24"/>
                <w:szCs w:val="24"/>
              </w:rPr>
            </w:pPr>
          </w:p>
        </w:tc>
        <w:tc>
          <w:tcPr>
            <w:tcW w:w="9956" w:type="dxa"/>
            <w:vAlign w:val="center"/>
          </w:tcPr>
          <w:p>
            <w:pPr>
              <w:pStyle w:val="21"/>
              <w:ind w:firstLine="480" w:firstLineChars="200"/>
              <w:rPr>
                <w:rFonts w:ascii="楷体_GB2312" w:hAnsi="楷体" w:eastAsia="楷体_GB2312"/>
                <w:bCs w:val="0"/>
                <w:spacing w:val="0"/>
                <w:sz w:val="24"/>
                <w:szCs w:val="24"/>
              </w:rPr>
            </w:pPr>
            <w:r>
              <w:rPr>
                <w:rFonts w:hint="eastAsia" w:ascii="楷体_GB2312" w:hAnsi="楷体" w:eastAsia="楷体_GB2312"/>
                <w:bCs w:val="0"/>
                <w:spacing w:val="0"/>
                <w:sz w:val="24"/>
                <w:szCs w:val="24"/>
              </w:rPr>
              <w:t>该部门主要负责以下工作内容：1）协助管理者代表组建公司的质量/环境/职业健康安全管理体系，并协助维持体系的运行和持续改进；2）负责《管理手册》、《程序文件》等管理体系文件的标识、编号、发放、回收、处置等控制管理；3）组织负责公司内审工作；4）负责公司质量/环境/职业健康安全管理体系文件及档案的管理；5）做好人员的培训计划，组织公司内部员工的培训工作；6）对公司人员进行质量/环境/职业健康安全管理体系相关条款的培训，使公司运行符合质量/环境/职业健康安全标准的要求；7）负责公司的采购，库存管理，收、发货工作；8）合格供方的评定工作；9)负责公司环境因素、危险源的识别和评价，并确定重要环境因素、危险源，报总经理审批；10）贯彻落实GB/T19001-2016 idt ISO9001:2015、GB/T24001-2016 idt ISO14001:2015、GB/T45001-2020/ISO45001:2018标准，做好质量、环境、职业安全健康管理体系的执行工作。</w:t>
            </w:r>
          </w:p>
          <w:p>
            <w:pPr>
              <w:pStyle w:val="21"/>
              <w:ind w:firstLine="480" w:firstLineChars="200"/>
              <w:rPr>
                <w:rFonts w:ascii="楷体_GB2312" w:hAnsi="楷体" w:eastAsia="楷体_GB2312"/>
                <w:bCs w:val="0"/>
                <w:spacing w:val="0"/>
                <w:sz w:val="24"/>
                <w:szCs w:val="24"/>
              </w:rPr>
            </w:pPr>
            <w:r>
              <w:rPr>
                <w:rFonts w:hint="eastAsia" w:ascii="楷体_GB2312" w:hAnsi="楷体" w:eastAsia="楷体_GB2312"/>
                <w:bCs w:val="0"/>
                <w:spacing w:val="0"/>
                <w:sz w:val="24"/>
                <w:szCs w:val="24"/>
              </w:rPr>
              <w:t>与综合部负责人辛红霞沟通，描述的职责和权限与质量/环境/职业健康安全管理体系的职能分配表基本一致。</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tcPr>
          <w:p>
            <w:pPr>
              <w:spacing w:line="280" w:lineRule="exact"/>
              <w:rPr>
                <w:rFonts w:ascii="楷体_GB2312" w:hAnsi="楷体" w:eastAsia="楷体_GB2312"/>
                <w:b/>
                <w:sz w:val="24"/>
                <w:szCs w:val="24"/>
              </w:rPr>
            </w:pPr>
            <w:r>
              <w:rPr>
                <w:rFonts w:hint="eastAsia" w:ascii="楷体_GB2312" w:hAnsi="楷体" w:eastAsia="楷体_GB2312"/>
                <w:bCs/>
                <w:sz w:val="24"/>
                <w:szCs w:val="24"/>
              </w:rPr>
              <w:t>组织的环境因素/危险源辨识和</w:t>
            </w:r>
            <w:r>
              <w:rPr>
                <w:rFonts w:hint="eastAsia" w:ascii="楷体_GB2312" w:hAnsi="楷体" w:eastAsia="楷体_GB2312"/>
                <w:sz w:val="24"/>
                <w:szCs w:val="24"/>
              </w:rPr>
              <w:t>职业安全风险评价、措施的策划</w:t>
            </w:r>
          </w:p>
        </w:tc>
        <w:tc>
          <w:tcPr>
            <w:tcW w:w="1355"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rPr>
              <w:t>EO：6.1.2；6.1.</w:t>
            </w:r>
            <w:r>
              <w:rPr>
                <w:rFonts w:ascii="楷体_GB2312" w:hAnsi="楷体" w:eastAsia="楷体_GB2312" w:cs="宋体"/>
                <w:kern w:val="0"/>
                <w:sz w:val="24"/>
                <w:szCs w:val="24"/>
              </w:rPr>
              <w:t>4</w:t>
            </w:r>
          </w:p>
          <w:p>
            <w:pPr>
              <w:pStyle w:val="2"/>
              <w:rPr>
                <w:rFonts w:hint="eastAsia"/>
              </w:rPr>
            </w:pPr>
          </w:p>
        </w:tc>
        <w:tc>
          <w:tcPr>
            <w:tcW w:w="9956" w:type="dxa"/>
            <w:vAlign w:val="center"/>
          </w:tcPr>
          <w:p>
            <w:pPr>
              <w:spacing w:line="280" w:lineRule="exact"/>
              <w:ind w:left="-38" w:leftChars="-18" w:firstLine="518" w:firstLineChars="216"/>
              <w:rPr>
                <w:rFonts w:ascii="楷体_GB2312" w:hAnsi="楷体" w:eastAsia="楷体_GB2312"/>
                <w:sz w:val="24"/>
                <w:szCs w:val="24"/>
              </w:rPr>
            </w:pPr>
            <w:r>
              <w:rPr>
                <w:rFonts w:hint="eastAsia" w:ascii="楷体_GB2312" w:hAnsi="楷体" w:eastAsia="楷体_GB2312"/>
                <w:sz w:val="24"/>
                <w:szCs w:val="24"/>
              </w:rPr>
              <w:t>根据公司《质量/环境/职业健康安全管理体系手册》第6.1.2条款、《环境因素识别与评价程序》要求，由综合部组织各部门对公司办公区域和工作检查中的环境因素进行识别和登记。负责对公司办公区域识别的环境因素进行确认、汇总统计和登记，组织有关人员对其进行评价，建立“环境因素辨识与评价清单”，确定公司重要环境因素。各部门对公司办公区域的环境因素进行识别，对本部门的环境因素进行识别和登记，并报综合部。</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查看公司《环境因素登记与评价表》，在各办公场所，按照活动过程调查、识别和确定了环境因素及其环境影响，对环境因素按正常/异常/紧急状态、现在/将来等时态进行了识别和评价（共2</w:t>
            </w:r>
            <w:r>
              <w:rPr>
                <w:rFonts w:ascii="楷体_GB2312" w:hAnsi="楷体" w:eastAsia="楷体_GB2312"/>
                <w:sz w:val="24"/>
                <w:szCs w:val="24"/>
              </w:rPr>
              <w:t>2</w:t>
            </w:r>
            <w:r>
              <w:rPr>
                <w:rFonts w:hint="eastAsia" w:ascii="楷体_GB2312" w:hAnsi="楷体" w:eastAsia="楷体_GB2312"/>
                <w:sz w:val="24"/>
                <w:szCs w:val="24"/>
              </w:rPr>
              <w:t>项），对应责任部门明确，有相应的保存期限、责任人和制定日期，基本满足环境因素识别、确定和保持要求。</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组织按照《环境因素识别与评价程序》准则确定了2项重要环境因素，提供的《重要环境因素清单》内容如下：</w:t>
            </w:r>
          </w:p>
          <w:p>
            <w:pPr>
              <w:pStyle w:val="2"/>
              <w:spacing w:line="240" w:lineRule="auto"/>
              <w:jc w:val="center"/>
              <w:rPr>
                <w:rFonts w:hint="eastAsia" w:asciiTheme="minorEastAsia" w:hAnsiTheme="minorEastAsia" w:eastAsiaTheme="minorEastAsia"/>
                <w:sz w:val="21"/>
                <w:szCs w:val="21"/>
              </w:rPr>
            </w:pPr>
            <w:r>
              <w:drawing>
                <wp:inline distT="0" distB="0" distL="0" distR="0">
                  <wp:extent cx="5474335" cy="30791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501218" cy="3094370"/>
                          </a:xfrm>
                          <a:prstGeom prst="rect">
                            <a:avLst/>
                          </a:prstGeom>
                        </pic:spPr>
                      </pic:pic>
                    </a:graphicData>
                  </a:graphic>
                </wp:inline>
              </w:drawing>
            </w:r>
          </w:p>
          <w:p>
            <w:pPr>
              <w:pStyle w:val="21"/>
              <w:ind w:firstLine="480" w:firstLineChars="200"/>
              <w:rPr>
                <w:rFonts w:ascii="楷体_GB2312" w:hAnsi="楷体" w:eastAsia="楷体_GB2312"/>
                <w:bCs w:val="0"/>
                <w:spacing w:val="0"/>
                <w:sz w:val="24"/>
                <w:szCs w:val="24"/>
              </w:rPr>
            </w:pPr>
            <w:r>
              <w:rPr>
                <w:rFonts w:hint="eastAsia" w:ascii="楷体_GB2312" w:hAnsi="楷体" w:eastAsia="楷体_GB2312"/>
                <w:bCs w:val="0"/>
                <w:spacing w:val="0"/>
                <w:sz w:val="24"/>
                <w:szCs w:val="24"/>
              </w:rPr>
              <w:t>重要环境因素识别、评价与实际吻合，控制措施基本能够满足控制要求。</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公司根据手册6.1.2条款、《危险源辨识与风险评价控制程序》要求，由综合部负责对公司办公区域辨识的危险源进行确认、汇总统计和登记，组织有关人员对其进行评价，建立“危险源辨识与评价清单”，确定公司不可接受风险。组织各部门对公司办公区域和工作检查中的危险源进行辨识和登记。公司建立、更新有《危险源识别与评价表》和《不可接受风险危险源清单》。抽查组织《不可接受风险危险源清单》内容如下：</w:t>
            </w:r>
          </w:p>
          <w:p>
            <w:pPr>
              <w:pStyle w:val="2"/>
              <w:spacing w:line="240" w:lineRule="auto"/>
              <w:jc w:val="center"/>
              <w:rPr>
                <w:rFonts w:hint="eastAsia" w:asciiTheme="minorEastAsia" w:hAnsiTheme="minorEastAsia" w:eastAsiaTheme="minorEastAsia"/>
                <w:sz w:val="21"/>
                <w:szCs w:val="21"/>
              </w:rPr>
            </w:pPr>
            <w:r>
              <w:rPr>
                <w:rFonts w:asciiTheme="minorEastAsia" w:hAnsiTheme="minorEastAsia" w:eastAsiaTheme="minorEastAsia"/>
                <w:sz w:val="21"/>
                <w:szCs w:val="21"/>
              </w:rPr>
              <w:drawing>
                <wp:inline distT="0" distB="0" distL="0" distR="0">
                  <wp:extent cx="6101080" cy="3359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6105025" cy="3362179"/>
                          </a:xfrm>
                          <a:prstGeom prst="rect">
                            <a:avLst/>
                          </a:prstGeom>
                        </pic:spPr>
                      </pic:pic>
                    </a:graphicData>
                  </a:graphic>
                </wp:inline>
              </w:drawing>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组织的职业健康安全风险与危险源辨识清单判定的内容一致，综合部负责人在访谈时介绍，组织会在危险源和风险识别、确定和应对的过程中寻找机遇，包括：1）使工作、工作组织和工作环境适合于工作人员；2）消除危险源和降低职业健康安全风险等，基本与ISO</w:t>
            </w:r>
            <w:r>
              <w:rPr>
                <w:rFonts w:ascii="楷体_GB2312" w:hAnsi="楷体" w:eastAsia="楷体_GB2312"/>
                <w:sz w:val="24"/>
                <w:szCs w:val="24"/>
              </w:rPr>
              <w:t xml:space="preserve"> </w:t>
            </w:r>
            <w:r>
              <w:rPr>
                <w:rFonts w:hint="eastAsia" w:ascii="楷体_GB2312" w:hAnsi="楷体" w:eastAsia="楷体_GB2312"/>
                <w:sz w:val="24"/>
                <w:szCs w:val="24"/>
              </w:rPr>
              <w:t>45001和企业手册以及程序文件要求识别的机遇一致，符合要求。</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tcPr>
          <w:p>
            <w:pPr>
              <w:spacing w:line="280" w:lineRule="exact"/>
              <w:rPr>
                <w:rFonts w:ascii="楷体_GB2312" w:hAnsi="楷体" w:eastAsia="楷体_GB2312"/>
                <w:b/>
                <w:sz w:val="24"/>
                <w:szCs w:val="24"/>
              </w:rPr>
            </w:pPr>
            <w:r>
              <w:rPr>
                <w:rFonts w:hint="eastAsia" w:ascii="楷体_GB2312" w:hAnsi="楷体" w:eastAsia="楷体_GB2312" w:cs="宋体"/>
                <w:kern w:val="0"/>
                <w:sz w:val="24"/>
                <w:szCs w:val="24"/>
              </w:rPr>
              <w:t>目标及其实现的策划总要求</w:t>
            </w:r>
          </w:p>
        </w:tc>
        <w:tc>
          <w:tcPr>
            <w:tcW w:w="1355" w:type="dxa"/>
          </w:tcPr>
          <w:p>
            <w:pPr>
              <w:spacing w:line="280" w:lineRule="exact"/>
              <w:rPr>
                <w:rFonts w:ascii="楷体_GB2312" w:hAnsi="楷体" w:eastAsia="楷体_GB2312"/>
                <w:b/>
                <w:sz w:val="24"/>
                <w:szCs w:val="24"/>
              </w:rPr>
            </w:pPr>
            <w:r>
              <w:rPr>
                <w:rFonts w:hint="eastAsia" w:ascii="楷体_GB2312" w:hAnsi="楷体" w:eastAsia="楷体_GB2312" w:cs="宋体"/>
                <w:kern w:val="0"/>
                <w:sz w:val="24"/>
                <w:szCs w:val="24"/>
                <w:lang w:val="en-US" w:eastAsia="zh-CN"/>
              </w:rPr>
              <w:t>Q</w:t>
            </w:r>
            <w:r>
              <w:rPr>
                <w:rFonts w:hint="eastAsia" w:ascii="楷体_GB2312" w:hAnsi="楷体" w:eastAsia="楷体_GB2312" w:cs="宋体"/>
                <w:kern w:val="0"/>
                <w:sz w:val="24"/>
                <w:szCs w:val="24"/>
              </w:rPr>
              <w:t>EO</w:t>
            </w:r>
            <w:r>
              <w:rPr>
                <w:rFonts w:ascii="楷体_GB2312" w:hAnsi="楷体" w:eastAsia="楷体_GB2312" w:cs="宋体"/>
                <w:kern w:val="0"/>
                <w:sz w:val="24"/>
                <w:szCs w:val="24"/>
              </w:rPr>
              <w:t>:</w:t>
            </w:r>
            <w:r>
              <w:rPr>
                <w:rFonts w:hint="eastAsia" w:ascii="楷体_GB2312" w:hAnsi="楷体" w:eastAsia="楷体_GB2312"/>
                <w:bCs/>
                <w:sz w:val="24"/>
                <w:szCs w:val="24"/>
              </w:rPr>
              <w:t>6</w:t>
            </w:r>
            <w:r>
              <w:rPr>
                <w:rFonts w:hint="eastAsia" w:ascii="楷体_GB2312" w:hAnsi="楷体" w:eastAsia="楷体_GB2312" w:cs="宋体"/>
                <w:bCs/>
                <w:kern w:val="0"/>
                <w:sz w:val="24"/>
                <w:szCs w:val="24"/>
              </w:rPr>
              <w:t>.</w:t>
            </w:r>
            <w:r>
              <w:rPr>
                <w:rFonts w:hint="eastAsia" w:ascii="楷体_GB2312" w:hAnsi="楷体" w:eastAsia="楷体_GB2312" w:cs="宋体"/>
                <w:kern w:val="0"/>
                <w:sz w:val="24"/>
                <w:szCs w:val="24"/>
              </w:rPr>
              <w:t>2</w:t>
            </w:r>
          </w:p>
        </w:tc>
        <w:tc>
          <w:tcPr>
            <w:tcW w:w="9956" w:type="dxa"/>
            <w:vAlign w:val="center"/>
          </w:tcPr>
          <w:p>
            <w:pPr>
              <w:ind w:firstLine="480" w:firstLineChars="200"/>
              <w:jc w:val="left"/>
              <w:rPr>
                <w:rFonts w:hint="eastAsia" w:ascii="楷体_GB2312" w:hAnsi="楷体" w:eastAsia="楷体_GB2312" w:cs="Times New Roman"/>
                <w:sz w:val="24"/>
                <w:szCs w:val="24"/>
              </w:rPr>
            </w:pPr>
            <w:r>
              <w:rPr>
                <w:rFonts w:hint="eastAsia" w:ascii="楷体_GB2312" w:hAnsi="楷体" w:eastAsia="楷体_GB2312" w:cs="Times New Roman"/>
                <w:sz w:val="24"/>
                <w:szCs w:val="24"/>
              </w:rPr>
              <w:t>涉及综合部的质量、环境和职业健康安全分解的管理目标包括：</w:t>
            </w:r>
          </w:p>
          <w:p>
            <w:pPr>
              <w:ind w:firstLine="480" w:firstLineChars="200"/>
              <w:jc w:val="left"/>
              <w:rPr>
                <w:rFonts w:hint="eastAsia" w:ascii="楷体_GB2312" w:hAnsi="楷体" w:eastAsia="楷体_GB2312" w:cs="Times New Roman"/>
                <w:sz w:val="24"/>
                <w:szCs w:val="24"/>
              </w:rPr>
            </w:pPr>
            <w:r>
              <w:rPr>
                <w:rFonts w:hint="eastAsia" w:ascii="楷体_GB2312" w:hAnsi="楷体" w:eastAsia="楷体_GB2312" w:cs="Times New Roman"/>
                <w:sz w:val="24"/>
                <w:szCs w:val="24"/>
                <w:lang w:val="en-US" w:eastAsia="zh-CN"/>
              </w:rPr>
              <w:t>质量目标：员工培训按时完成率100%  供方评定率率100%</w:t>
            </w:r>
          </w:p>
          <w:p>
            <w:pPr>
              <w:ind w:firstLine="480" w:firstLineChars="200"/>
              <w:jc w:val="left"/>
              <w:rPr>
                <w:rFonts w:hint="eastAsia" w:ascii="楷体_GB2312" w:hAnsi="楷体" w:eastAsia="楷体_GB2312" w:cs="Times New Roman"/>
                <w:sz w:val="24"/>
                <w:szCs w:val="24"/>
              </w:rPr>
            </w:pPr>
            <w:r>
              <w:rPr>
                <w:rFonts w:hint="eastAsia" w:ascii="楷体_GB2312" w:hAnsi="楷体" w:eastAsia="楷体_GB2312" w:cs="Times New Roman"/>
                <w:sz w:val="24"/>
                <w:szCs w:val="24"/>
                <w:lang w:val="en-US" w:eastAsia="zh-CN"/>
              </w:rPr>
              <w:t>环境和职业健康安全目标：</w:t>
            </w:r>
            <w:r>
              <w:rPr>
                <w:rFonts w:hint="eastAsia" w:ascii="楷体_GB2312" w:hAnsi="楷体" w:eastAsia="楷体_GB2312" w:cs="Times New Roman"/>
                <w:sz w:val="24"/>
                <w:szCs w:val="24"/>
              </w:rPr>
              <w:t>环境污染事故发生率为零；各类重伤以上事故发生率为零；火灾事故发生率为零。</w:t>
            </w:r>
          </w:p>
          <w:p>
            <w:pPr>
              <w:ind w:firstLine="480" w:firstLineChars="200"/>
              <w:jc w:val="left"/>
              <w:rPr>
                <w:rFonts w:hint="eastAsia" w:ascii="楷体_GB2312" w:hAnsi="楷体" w:eastAsia="楷体_GB2312" w:cs="Times New Roman"/>
                <w:sz w:val="24"/>
                <w:szCs w:val="24"/>
              </w:rPr>
            </w:pPr>
            <w:r>
              <w:rPr>
                <w:rFonts w:hint="eastAsia" w:ascii="楷体_GB2312" w:hAnsi="楷体" w:eastAsia="楷体_GB2312" w:cs="Times New Roman"/>
                <w:sz w:val="24"/>
                <w:szCs w:val="24"/>
              </w:rPr>
              <w:t>组织的目标与对应的方针基本一致，均有相应的统计方法、管理方案和监视频率，责任部门和责任人明确，基本满足控制要求。</w:t>
            </w:r>
          </w:p>
          <w:p>
            <w:pPr>
              <w:ind w:firstLine="480" w:firstLineChars="200"/>
              <w:jc w:val="left"/>
              <w:rPr>
                <w:rFonts w:ascii="楷体_GB2312" w:hAnsi="楷体" w:eastAsia="楷体_GB2312"/>
                <w:color w:val="FF0000"/>
                <w:sz w:val="24"/>
                <w:szCs w:val="24"/>
              </w:rPr>
            </w:pPr>
            <w:r>
              <w:rPr>
                <w:rFonts w:hint="eastAsia" w:ascii="楷体_GB2312" w:hAnsi="楷体" w:eastAsia="楷体_GB2312" w:cs="Times New Roman"/>
                <w:sz w:val="24"/>
                <w:szCs w:val="24"/>
              </w:rPr>
              <w:t>查2021年度目标管理文件有《环境管理</w:t>
            </w:r>
            <w:r>
              <w:rPr>
                <w:rFonts w:hint="eastAsia" w:ascii="楷体_GB2312" w:hAnsi="楷体" w:eastAsia="楷体_GB2312"/>
                <w:sz w:val="24"/>
                <w:szCs w:val="24"/>
              </w:rPr>
              <w:t>方案》和《职业健康安全管理方案》，设立了目标/指标,责任人明确，2</w:t>
            </w:r>
            <w:r>
              <w:rPr>
                <w:rFonts w:ascii="楷体_GB2312" w:hAnsi="楷体" w:eastAsia="楷体_GB2312"/>
                <w:sz w:val="24"/>
                <w:szCs w:val="24"/>
              </w:rPr>
              <w:t>021</w:t>
            </w:r>
            <w:r>
              <w:rPr>
                <w:rFonts w:hint="eastAsia" w:ascii="楷体_GB2312" w:hAnsi="楷体" w:eastAsia="楷体_GB2312"/>
                <w:sz w:val="24"/>
                <w:szCs w:val="24"/>
              </w:rPr>
              <w:t>年4月1</w:t>
            </w:r>
            <w:r>
              <w:rPr>
                <w:rFonts w:ascii="楷体_GB2312" w:hAnsi="楷体" w:eastAsia="楷体_GB2312"/>
                <w:sz w:val="24"/>
                <w:szCs w:val="24"/>
              </w:rPr>
              <w:t>0</w:t>
            </w:r>
            <w:r>
              <w:rPr>
                <w:rFonts w:hint="eastAsia" w:ascii="楷体_GB2312" w:hAnsi="楷体" w:eastAsia="楷体_GB2312"/>
                <w:sz w:val="24"/>
                <w:szCs w:val="24"/>
              </w:rPr>
              <w:t>日批准实施。</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72" w:type="dxa"/>
            <w:vAlign w:val="top"/>
          </w:tcPr>
          <w:p>
            <w:pPr>
              <w:spacing w:line="280" w:lineRule="exact"/>
              <w:rPr>
                <w:rFonts w:ascii="楷体" w:hAnsi="楷体" w:eastAsia="楷体" w:cs="宋体"/>
                <w:kern w:val="0"/>
                <w:sz w:val="24"/>
                <w:szCs w:val="24"/>
              </w:rPr>
            </w:pPr>
            <w:r>
              <w:rPr>
                <w:rFonts w:hint="eastAsia" w:ascii="楷体" w:hAnsi="楷体" w:eastAsia="楷体" w:cs="宋体"/>
                <w:kern w:val="0"/>
                <w:sz w:val="24"/>
                <w:szCs w:val="24"/>
              </w:rPr>
              <w:t>组织的知识</w:t>
            </w:r>
          </w:p>
          <w:p>
            <w:pPr>
              <w:spacing w:line="280" w:lineRule="exact"/>
              <w:rPr>
                <w:rFonts w:ascii="楷体_GB2312" w:hAnsi="楷体" w:eastAsia="楷体_GB2312"/>
                <w:b/>
                <w:sz w:val="24"/>
                <w:szCs w:val="24"/>
              </w:rPr>
            </w:pPr>
          </w:p>
        </w:tc>
        <w:tc>
          <w:tcPr>
            <w:tcW w:w="1355" w:type="dxa"/>
            <w:vAlign w:val="top"/>
          </w:tcPr>
          <w:p>
            <w:pPr>
              <w:spacing w:line="280" w:lineRule="exact"/>
              <w:rPr>
                <w:rFonts w:ascii="楷体" w:hAnsi="楷体" w:eastAsia="楷体" w:cs="宋体"/>
                <w:kern w:val="0"/>
                <w:sz w:val="24"/>
                <w:szCs w:val="24"/>
              </w:rPr>
            </w:pPr>
            <w:r>
              <w:rPr>
                <w:rFonts w:hint="eastAsia" w:ascii="楷体" w:hAnsi="楷体" w:eastAsia="楷体" w:cs="宋体"/>
                <w:kern w:val="0"/>
                <w:sz w:val="24"/>
                <w:szCs w:val="24"/>
              </w:rPr>
              <w:t>Q7.1.6</w:t>
            </w:r>
          </w:p>
          <w:p>
            <w:pPr>
              <w:spacing w:line="280" w:lineRule="exact"/>
              <w:rPr>
                <w:rFonts w:ascii="楷体_GB2312" w:hAnsi="楷体" w:eastAsia="楷体_GB2312"/>
                <w:b/>
                <w:sz w:val="24"/>
                <w:szCs w:val="24"/>
              </w:rPr>
            </w:pPr>
          </w:p>
        </w:tc>
        <w:tc>
          <w:tcPr>
            <w:tcW w:w="9956" w:type="dxa"/>
            <w:vAlign w:val="center"/>
          </w:tcPr>
          <w:p>
            <w:pPr>
              <w:spacing w:line="280" w:lineRule="exact"/>
              <w:rPr>
                <w:rFonts w:ascii="楷体" w:hAnsi="楷体" w:eastAsia="楷体" w:cs="宋体"/>
                <w:kern w:val="0"/>
                <w:sz w:val="24"/>
                <w:szCs w:val="24"/>
              </w:rPr>
            </w:pPr>
            <w:r>
              <w:rPr>
                <w:rFonts w:hint="eastAsia" w:ascii="楷体" w:hAnsi="楷体" w:eastAsia="楷体" w:cs="宋体"/>
                <w:kern w:val="0"/>
                <w:sz w:val="24"/>
                <w:szCs w:val="24"/>
              </w:rPr>
              <w:t xml:space="preserve">  </w:t>
            </w:r>
            <w:r>
              <w:rPr>
                <w:rFonts w:hint="eastAsia" w:ascii="楷体" w:hAnsi="楷体" w:eastAsia="楷体" w:cs="宋体"/>
                <w:kern w:val="0"/>
                <w:sz w:val="24"/>
                <w:szCs w:val="24"/>
                <w:lang w:val="en-US" w:eastAsia="zh-CN"/>
              </w:rPr>
              <w:t xml:space="preserve"> 从行政部负责人</w:t>
            </w:r>
            <w:r>
              <w:rPr>
                <w:rFonts w:hint="eastAsia" w:ascii="楷体_GB2312" w:hAnsi="楷体" w:eastAsia="楷体_GB2312"/>
                <w:b/>
                <w:spacing w:val="0"/>
                <w:sz w:val="24"/>
                <w:szCs w:val="24"/>
              </w:rPr>
              <w:t>辛红霞</w:t>
            </w:r>
            <w:r>
              <w:rPr>
                <w:rFonts w:hint="eastAsia" w:ascii="楷体" w:hAnsi="楷体" w:eastAsia="楷体" w:cs="宋体"/>
                <w:kern w:val="0"/>
                <w:sz w:val="24"/>
                <w:szCs w:val="24"/>
                <w:lang w:val="en-US" w:eastAsia="zh-CN"/>
              </w:rPr>
              <w:t>了解到，组织</w:t>
            </w:r>
            <w:r>
              <w:rPr>
                <w:rFonts w:hint="eastAsia" w:ascii="楷体" w:hAnsi="楷体" w:eastAsia="楷体" w:cs="宋体"/>
                <w:kern w:val="0"/>
                <w:sz w:val="24"/>
                <w:szCs w:val="24"/>
              </w:rPr>
              <w:t>确定</w:t>
            </w:r>
            <w:r>
              <w:rPr>
                <w:rFonts w:hint="eastAsia" w:ascii="楷体" w:hAnsi="楷体" w:eastAsia="楷体" w:cs="宋体"/>
                <w:kern w:val="0"/>
                <w:sz w:val="24"/>
                <w:szCs w:val="24"/>
                <w:lang w:val="en-US" w:eastAsia="zh-CN"/>
              </w:rPr>
              <w:t>了</w:t>
            </w:r>
            <w:r>
              <w:rPr>
                <w:rFonts w:hint="eastAsia" w:ascii="楷体" w:hAnsi="楷体" w:eastAsia="楷体" w:cs="宋体"/>
                <w:kern w:val="0"/>
                <w:sz w:val="24"/>
                <w:szCs w:val="24"/>
              </w:rPr>
              <w:t>运行过程所需的知识</w:t>
            </w:r>
            <w:r>
              <w:rPr>
                <w:rFonts w:hint="eastAsia" w:ascii="楷体" w:hAnsi="楷体" w:eastAsia="楷体" w:cs="宋体"/>
                <w:kern w:val="0"/>
                <w:sz w:val="24"/>
                <w:szCs w:val="24"/>
                <w:lang w:eastAsia="zh-CN"/>
              </w:rPr>
              <w:t>，</w:t>
            </w:r>
            <w:r>
              <w:rPr>
                <w:rFonts w:hint="eastAsia" w:ascii="楷体" w:hAnsi="楷体" w:eastAsia="楷体" w:cs="宋体"/>
                <w:kern w:val="0"/>
                <w:sz w:val="24"/>
                <w:szCs w:val="24"/>
                <w:lang w:val="en-US" w:eastAsia="zh-CN"/>
              </w:rPr>
              <w:t>包括</w:t>
            </w:r>
            <w:r>
              <w:rPr>
                <w:rFonts w:hint="eastAsia" w:ascii="楷体" w:hAnsi="楷体" w:eastAsia="楷体" w:cs="宋体"/>
                <w:kern w:val="0"/>
                <w:sz w:val="24"/>
                <w:szCs w:val="24"/>
              </w:rPr>
              <w:t>内部来源：</w:t>
            </w:r>
            <w:r>
              <w:rPr>
                <w:rFonts w:hint="eastAsia" w:ascii="楷体" w:hAnsi="楷体" w:eastAsia="楷体" w:cs="宋体"/>
                <w:kern w:val="0"/>
                <w:sz w:val="24"/>
                <w:szCs w:val="24"/>
                <w:lang w:val="en-US" w:eastAsia="zh-CN"/>
              </w:rPr>
              <w:t>组织</w:t>
            </w:r>
            <w:r>
              <w:rPr>
                <w:rFonts w:hint="eastAsia" w:ascii="楷体" w:hAnsi="楷体" w:eastAsia="楷体" w:cs="宋体"/>
                <w:kern w:val="0"/>
                <w:sz w:val="24"/>
                <w:szCs w:val="24"/>
              </w:rPr>
              <w:t>运作准则（管理手册、程序文件、管理制度、作业记录等）、管理过程控制失败和成功项目吸取的经验教训和改进的结果等；外部来源：外来资料（如顾客反馈的信息、质量）、法律法规、市场信息等。</w:t>
            </w:r>
          </w:p>
          <w:p>
            <w:pPr>
              <w:spacing w:line="280" w:lineRule="exact"/>
              <w:ind w:firstLine="480" w:firstLineChars="200"/>
              <w:rPr>
                <w:rFonts w:hint="eastAsia" w:ascii="楷体_GB2312" w:hAnsi="楷体" w:eastAsia="楷体_GB2312" w:cs="宋体"/>
                <w:kern w:val="0"/>
                <w:sz w:val="24"/>
                <w:szCs w:val="24"/>
              </w:rPr>
            </w:pPr>
            <w:r>
              <w:rPr>
                <w:rFonts w:hint="eastAsia" w:ascii="楷体" w:hAnsi="楷体" w:eastAsia="楷体" w:cs="宋体"/>
                <w:kern w:val="0"/>
                <w:sz w:val="24"/>
                <w:szCs w:val="24"/>
              </w:rPr>
              <w:t>对知识的保持采取文件资料的保存和信息系统存储</w:t>
            </w:r>
            <w:r>
              <w:rPr>
                <w:rFonts w:hint="eastAsia" w:ascii="楷体" w:hAnsi="楷体" w:eastAsia="楷体" w:cs="宋体"/>
                <w:kern w:val="0"/>
                <w:sz w:val="24"/>
                <w:szCs w:val="24"/>
                <w:lang w:val="en-US" w:eastAsia="zh-CN"/>
              </w:rPr>
              <w:t>等</w:t>
            </w:r>
            <w:r>
              <w:rPr>
                <w:rFonts w:hint="eastAsia" w:ascii="楷体" w:hAnsi="楷体" w:eastAsia="楷体" w:cs="宋体"/>
                <w:kern w:val="0"/>
                <w:sz w:val="24"/>
                <w:szCs w:val="24"/>
              </w:rPr>
              <w:t>方式，在</w:t>
            </w:r>
            <w:r>
              <w:rPr>
                <w:rFonts w:hint="eastAsia" w:ascii="楷体" w:hAnsi="楷体" w:eastAsia="楷体" w:cs="宋体"/>
                <w:kern w:val="0"/>
                <w:sz w:val="24"/>
                <w:szCs w:val="24"/>
                <w:lang w:val="en-US" w:eastAsia="zh-CN"/>
              </w:rPr>
              <w:t>组织</w:t>
            </w:r>
            <w:r>
              <w:rPr>
                <w:rFonts w:hint="eastAsia" w:ascii="楷体" w:hAnsi="楷体" w:eastAsia="楷体" w:cs="宋体"/>
                <w:kern w:val="0"/>
                <w:sz w:val="24"/>
                <w:szCs w:val="24"/>
              </w:rPr>
              <w:t>内部通过传递、交流、培训等方式</w:t>
            </w:r>
            <w:r>
              <w:rPr>
                <w:rFonts w:hint="eastAsia" w:ascii="楷体" w:hAnsi="楷体" w:eastAsia="楷体" w:cs="宋体"/>
                <w:kern w:val="0"/>
                <w:sz w:val="24"/>
                <w:szCs w:val="24"/>
                <w:lang w:val="en-US" w:eastAsia="zh-CN"/>
              </w:rPr>
              <w:t>共享</w:t>
            </w:r>
            <w:r>
              <w:rPr>
                <w:rFonts w:hint="eastAsia" w:ascii="楷体" w:hAnsi="楷体" w:eastAsia="楷体" w:cs="宋体"/>
                <w:kern w:val="0"/>
                <w:sz w:val="24"/>
                <w:szCs w:val="24"/>
              </w:rPr>
              <w:t>。为获取更多必要的知识</w:t>
            </w:r>
            <w:r>
              <w:rPr>
                <w:rFonts w:hint="eastAsia" w:ascii="楷体" w:hAnsi="楷体" w:eastAsia="楷体" w:cs="宋体"/>
                <w:kern w:val="0"/>
                <w:sz w:val="24"/>
                <w:szCs w:val="24"/>
                <w:lang w:val="en-US" w:eastAsia="zh-CN"/>
              </w:rPr>
              <w:t>，组织</w:t>
            </w:r>
            <w:r>
              <w:rPr>
                <w:rFonts w:hint="eastAsia" w:ascii="楷体" w:hAnsi="楷体" w:eastAsia="楷体" w:cs="宋体"/>
                <w:kern w:val="0"/>
                <w:sz w:val="24"/>
                <w:szCs w:val="24"/>
              </w:rPr>
              <w:t>采用</w:t>
            </w:r>
            <w:r>
              <w:rPr>
                <w:rFonts w:hint="eastAsia" w:ascii="楷体" w:hAnsi="楷体" w:eastAsia="楷体" w:cs="宋体"/>
                <w:kern w:val="0"/>
                <w:sz w:val="24"/>
                <w:szCs w:val="24"/>
                <w:lang w:val="en-US" w:eastAsia="zh-CN"/>
              </w:rPr>
              <w:t>了</w:t>
            </w:r>
            <w:r>
              <w:rPr>
                <w:rFonts w:hint="eastAsia" w:ascii="楷体" w:hAnsi="楷体" w:eastAsia="楷体" w:cs="宋体"/>
                <w:kern w:val="0"/>
                <w:sz w:val="24"/>
                <w:szCs w:val="24"/>
              </w:rPr>
              <w:t>工作经验总结、顾客意见的采集，行业领先者的最佳实践调查等</w:t>
            </w:r>
            <w:r>
              <w:rPr>
                <w:rFonts w:hint="eastAsia" w:ascii="楷体" w:hAnsi="楷体" w:eastAsia="楷体" w:cs="宋体"/>
                <w:kern w:val="0"/>
                <w:sz w:val="24"/>
                <w:szCs w:val="24"/>
                <w:lang w:eastAsia="zh-CN"/>
              </w:rPr>
              <w:t>，</w:t>
            </w:r>
            <w:r>
              <w:rPr>
                <w:rFonts w:hint="eastAsia" w:ascii="楷体" w:hAnsi="楷体" w:eastAsia="楷体" w:cs="宋体"/>
                <w:kern w:val="0"/>
                <w:sz w:val="24"/>
                <w:szCs w:val="24"/>
                <w:lang w:val="en-US" w:eastAsia="zh-CN"/>
              </w:rPr>
              <w:t>并在一定范围内和程度上实现即时更新，基本满足要求</w:t>
            </w:r>
            <w:r>
              <w:rPr>
                <w:rFonts w:hint="eastAsia" w:ascii="楷体" w:hAnsi="楷体" w:eastAsia="楷体" w:cs="宋体"/>
                <w:kern w:val="0"/>
                <w:sz w:val="24"/>
                <w:szCs w:val="24"/>
              </w:rPr>
              <w:t xml:space="preserve">。  </w:t>
            </w:r>
          </w:p>
        </w:tc>
        <w:tc>
          <w:tcPr>
            <w:tcW w:w="1148" w:type="dxa"/>
            <w:vAlign w:val="top"/>
          </w:tcPr>
          <w:p>
            <w:pPr>
              <w:rPr>
                <w:rFonts w:hint="eastAsia" w:ascii="楷体_GB2312" w:hAnsi="楷体" w:eastAsia="楷体_GB2312"/>
                <w:color w:val="FF0000"/>
                <w:sz w:val="24"/>
                <w:szCs w:val="24"/>
              </w:rPr>
            </w:pPr>
            <w:r>
              <w:rPr>
                <w:rFonts w:hint="eastAsia" w:ascii="楷体" w:hAnsi="楷体" w:eastAsia="楷体"/>
                <w:color w:val="FF0000"/>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9" w:hRule="atLeast"/>
          <w:jc w:val="center"/>
        </w:trPr>
        <w:tc>
          <w:tcPr>
            <w:tcW w:w="1872"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rPr>
              <w:t>能力</w:t>
            </w:r>
          </w:p>
          <w:p>
            <w:pPr>
              <w:spacing w:line="280" w:lineRule="exact"/>
              <w:rPr>
                <w:rFonts w:ascii="楷体_GB2312" w:hAnsi="楷体" w:eastAsia="楷体_GB2312"/>
                <w:b/>
                <w:sz w:val="24"/>
                <w:szCs w:val="24"/>
              </w:rPr>
            </w:pPr>
          </w:p>
        </w:tc>
        <w:tc>
          <w:tcPr>
            <w:tcW w:w="1355" w:type="dxa"/>
          </w:tcPr>
          <w:p>
            <w:pPr>
              <w:spacing w:line="280" w:lineRule="exact"/>
              <w:rPr>
                <w:rFonts w:hint="eastAsia" w:ascii="楷体_GB2312" w:hAnsi="楷体" w:eastAsia="楷体_GB2312" w:cs="宋体"/>
                <w:kern w:val="0"/>
                <w:sz w:val="24"/>
                <w:szCs w:val="24"/>
              </w:rPr>
            </w:pPr>
            <w:r>
              <w:rPr>
                <w:rFonts w:hint="eastAsia" w:ascii="楷体_GB2312" w:hAnsi="楷体" w:eastAsia="楷体_GB2312" w:cs="宋体"/>
                <w:kern w:val="0"/>
                <w:sz w:val="24"/>
                <w:szCs w:val="24"/>
                <w:lang w:val="en-US" w:eastAsia="zh-CN"/>
              </w:rPr>
              <w:t>Q</w:t>
            </w:r>
            <w:r>
              <w:rPr>
                <w:rFonts w:hint="eastAsia" w:ascii="楷体_GB2312" w:hAnsi="楷体" w:eastAsia="楷体_GB2312" w:cs="宋体"/>
                <w:kern w:val="0"/>
                <w:sz w:val="24"/>
                <w:szCs w:val="24"/>
              </w:rPr>
              <w:t>EO</w:t>
            </w:r>
            <w:r>
              <w:rPr>
                <w:rFonts w:ascii="楷体_GB2312" w:hAnsi="楷体" w:eastAsia="楷体_GB2312" w:cs="宋体"/>
                <w:kern w:val="0"/>
                <w:sz w:val="24"/>
                <w:szCs w:val="24"/>
              </w:rPr>
              <w:t>:</w:t>
            </w:r>
            <w:r>
              <w:rPr>
                <w:rFonts w:hint="eastAsia" w:ascii="楷体_GB2312" w:hAnsi="楷体" w:eastAsia="楷体_GB2312" w:cs="宋体"/>
                <w:kern w:val="0"/>
                <w:sz w:val="24"/>
                <w:szCs w:val="24"/>
              </w:rPr>
              <w:t>7.2</w:t>
            </w:r>
          </w:p>
          <w:p>
            <w:pPr>
              <w:spacing w:line="280" w:lineRule="exact"/>
              <w:rPr>
                <w:rFonts w:ascii="楷体" w:hAnsi="楷体" w:eastAsia="楷体" w:cs="宋体"/>
                <w:kern w:val="0"/>
                <w:sz w:val="24"/>
                <w:szCs w:val="24"/>
              </w:rPr>
            </w:pPr>
            <w:r>
              <w:rPr>
                <w:rFonts w:hint="eastAsia" w:ascii="楷体" w:hAnsi="楷体" w:eastAsia="楷体" w:cs="宋体"/>
                <w:kern w:val="0"/>
                <w:sz w:val="24"/>
                <w:szCs w:val="24"/>
              </w:rPr>
              <w:t>Q7.1.2</w:t>
            </w:r>
          </w:p>
          <w:p>
            <w:pPr>
              <w:pStyle w:val="2"/>
            </w:pPr>
          </w:p>
          <w:p>
            <w:pPr>
              <w:spacing w:line="280" w:lineRule="exact"/>
              <w:rPr>
                <w:rFonts w:ascii="楷体_GB2312" w:hAnsi="楷体" w:eastAsia="楷体_GB2312"/>
                <w:b/>
                <w:sz w:val="24"/>
                <w:szCs w:val="24"/>
              </w:rPr>
            </w:pPr>
          </w:p>
        </w:tc>
        <w:tc>
          <w:tcPr>
            <w:tcW w:w="9956" w:type="dxa"/>
            <w:vAlign w:val="center"/>
          </w:tcPr>
          <w:p>
            <w:pPr>
              <w:spacing w:line="280" w:lineRule="exact"/>
              <w:ind w:firstLine="480" w:firstLineChars="200"/>
              <w:rPr>
                <w:rFonts w:ascii="楷体_GB2312" w:hAnsi="楷体" w:eastAsia="楷体_GB2312" w:cs="宋体"/>
                <w:sz w:val="24"/>
                <w:szCs w:val="24"/>
              </w:rPr>
            </w:pPr>
            <w:r>
              <w:rPr>
                <w:rFonts w:hint="eastAsia" w:ascii="楷体_GB2312" w:hAnsi="楷体" w:eastAsia="楷体_GB2312" w:cs="宋体"/>
                <w:sz w:val="24"/>
                <w:szCs w:val="24"/>
              </w:rPr>
              <w:t>公司在手册中规定了最高管理者、管理者代表、综合部、销售部的职责，并提供了两个部门负责人的能力评价表，</w:t>
            </w:r>
            <w:r>
              <w:rPr>
                <w:rFonts w:hint="eastAsia" w:ascii="楷体_GB2312" w:hAnsi="楷体" w:eastAsia="楷体_GB2312" w:cs="宋体"/>
                <w:kern w:val="0"/>
                <w:sz w:val="24"/>
                <w:szCs w:val="24"/>
              </w:rPr>
              <w:t>分别从教育程度、工作经验、岗位技能</w:t>
            </w:r>
            <w:r>
              <w:rPr>
                <w:rFonts w:hint="eastAsia" w:ascii="楷体_GB2312" w:hAnsi="楷体" w:eastAsia="楷体_GB2312" w:cs="宋体"/>
                <w:sz w:val="24"/>
                <w:szCs w:val="24"/>
              </w:rPr>
              <w:t>、专业培训、工作态度、团队意识等方面进行了评价，抽查内容如下：</w:t>
            </w:r>
          </w:p>
          <w:p>
            <w:pPr>
              <w:pStyle w:val="2"/>
              <w:spacing w:line="240" w:lineRule="auto"/>
              <w:jc w:val="center"/>
              <w:rPr>
                <w:rFonts w:hint="eastAsia"/>
              </w:rPr>
            </w:pPr>
            <w:r>
              <w:drawing>
                <wp:inline distT="0" distB="0" distL="0" distR="0">
                  <wp:extent cx="2362835" cy="3213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67230" cy="3218348"/>
                          </a:xfrm>
                          <a:prstGeom prst="rect">
                            <a:avLst/>
                          </a:prstGeom>
                        </pic:spPr>
                      </pic:pic>
                    </a:graphicData>
                  </a:graphic>
                </wp:inline>
              </w:drawing>
            </w:r>
            <w:r>
              <w:drawing>
                <wp:inline distT="0" distB="0" distL="0" distR="0">
                  <wp:extent cx="2367915" cy="3212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381488" cy="3230435"/>
                          </a:xfrm>
                          <a:prstGeom prst="rect">
                            <a:avLst/>
                          </a:prstGeom>
                        </pic:spPr>
                      </pic:pic>
                    </a:graphicData>
                  </a:graphic>
                </wp:inline>
              </w:drawing>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组织的人员能力确定基本能够满足控制要求。</w:t>
            </w:r>
          </w:p>
          <w:p>
            <w:pPr>
              <w:spacing w:line="280" w:lineRule="exact"/>
              <w:ind w:firstLine="480" w:firstLineChars="200"/>
              <w:rPr>
                <w:rFonts w:ascii="楷体_GB2312" w:hAnsi="楷体" w:eastAsia="楷体_GB2312" w:cs="宋体"/>
                <w:kern w:val="0"/>
                <w:sz w:val="24"/>
                <w:szCs w:val="24"/>
              </w:rPr>
            </w:pPr>
            <w:r>
              <w:rPr>
                <w:rFonts w:hint="eastAsia" w:ascii="楷体_GB2312" w:hAnsi="楷体" w:eastAsia="楷体_GB2312" w:cs="宋体"/>
                <w:kern w:val="0"/>
                <w:sz w:val="24"/>
                <w:szCs w:val="24"/>
              </w:rPr>
              <w:t>抽查培训计划和培训实施记录如下：</w:t>
            </w:r>
          </w:p>
          <w:p>
            <w:pPr>
              <w:jc w:val="center"/>
              <w:rPr>
                <w:rFonts w:hint="eastAsia" w:ascii="楷体_GB2312" w:hAnsi="楷体" w:eastAsia="楷体_GB2312" w:cs="宋体"/>
                <w:kern w:val="0"/>
                <w:sz w:val="24"/>
                <w:szCs w:val="24"/>
              </w:rPr>
            </w:pPr>
            <w:r>
              <w:drawing>
                <wp:inline distT="0" distB="0" distL="0" distR="0">
                  <wp:extent cx="6184900" cy="3935730"/>
                  <wp:effectExtent l="0" t="0" r="635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6184900" cy="3935730"/>
                          </a:xfrm>
                          <a:prstGeom prst="rect">
                            <a:avLst/>
                          </a:prstGeom>
                        </pic:spPr>
                      </pic:pic>
                    </a:graphicData>
                  </a:graphic>
                </wp:inline>
              </w:drawing>
            </w:r>
          </w:p>
          <w:p>
            <w:pPr>
              <w:jc w:val="center"/>
              <w:rPr>
                <w:rFonts w:hint="eastAsia" w:ascii="楷体_GB2312" w:hAnsi="楷体" w:eastAsia="楷体_GB2312" w:cs="宋体"/>
                <w:kern w:val="0"/>
                <w:sz w:val="24"/>
                <w:szCs w:val="24"/>
              </w:rPr>
            </w:pPr>
            <w:r>
              <w:drawing>
                <wp:inline distT="0" distB="0" distL="0" distR="0">
                  <wp:extent cx="6184900" cy="36195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6184900" cy="3619500"/>
                          </a:xfrm>
                          <a:prstGeom prst="rect">
                            <a:avLst/>
                          </a:prstGeom>
                        </pic:spPr>
                      </pic:pic>
                    </a:graphicData>
                  </a:graphic>
                </wp:inline>
              </w:drawing>
            </w:r>
          </w:p>
          <w:p>
            <w:pPr>
              <w:spacing w:line="280" w:lineRule="exact"/>
              <w:ind w:firstLine="480" w:firstLineChars="200"/>
              <w:rPr>
                <w:rFonts w:ascii="楷体_GB2312" w:hAnsi="楷体" w:eastAsia="楷体_GB2312" w:cs="宋体"/>
                <w:kern w:val="0"/>
                <w:sz w:val="24"/>
                <w:szCs w:val="24"/>
              </w:rPr>
            </w:pPr>
            <w:r>
              <w:rPr>
                <w:rFonts w:hint="eastAsia" w:ascii="楷体_GB2312" w:hAnsi="楷体" w:eastAsia="楷体_GB2312" w:cs="宋体"/>
                <w:kern w:val="0"/>
                <w:sz w:val="24"/>
                <w:szCs w:val="24"/>
              </w:rPr>
              <w:t>培训实施记录与培训计划基本一致，基本符合标准要求。</w:t>
            </w:r>
          </w:p>
          <w:p>
            <w:pPr>
              <w:spacing w:line="280" w:lineRule="exact"/>
              <w:ind w:firstLine="480"/>
              <w:rPr>
                <w:rFonts w:hint="eastAsia" w:ascii="楷体_GB2312" w:hAnsi="楷体" w:eastAsia="楷体_GB2312" w:cs="宋体"/>
                <w:kern w:val="0"/>
                <w:sz w:val="24"/>
                <w:szCs w:val="24"/>
              </w:rPr>
            </w:pPr>
            <w:r>
              <w:rPr>
                <w:rFonts w:hint="eastAsia" w:ascii="楷体_GB2312" w:hAnsi="楷体" w:eastAsia="楷体_GB2312" w:cs="宋体"/>
                <w:kern w:val="0"/>
                <w:sz w:val="24"/>
                <w:szCs w:val="24"/>
              </w:rPr>
              <w:t>公司无特种设备和特种作业人员。</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jc w:val="center"/>
        </w:trPr>
        <w:tc>
          <w:tcPr>
            <w:tcW w:w="1872"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rPr>
              <w:t>意识</w:t>
            </w:r>
          </w:p>
          <w:p>
            <w:pPr>
              <w:spacing w:line="280" w:lineRule="exact"/>
              <w:rPr>
                <w:rFonts w:ascii="楷体_GB2312" w:hAnsi="楷体" w:eastAsia="楷体_GB2312"/>
                <w:b/>
                <w:sz w:val="24"/>
                <w:szCs w:val="24"/>
              </w:rPr>
            </w:pPr>
          </w:p>
        </w:tc>
        <w:tc>
          <w:tcPr>
            <w:tcW w:w="1355"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lang w:val="en-US" w:eastAsia="zh-CN"/>
              </w:rPr>
              <w:t>Q</w:t>
            </w:r>
            <w:r>
              <w:rPr>
                <w:rFonts w:hint="eastAsia" w:ascii="楷体_GB2312" w:hAnsi="楷体" w:eastAsia="楷体_GB2312" w:cs="宋体"/>
                <w:kern w:val="0"/>
                <w:sz w:val="24"/>
                <w:szCs w:val="24"/>
              </w:rPr>
              <w:t>EO</w:t>
            </w:r>
            <w:r>
              <w:rPr>
                <w:rFonts w:ascii="楷体_GB2312" w:hAnsi="楷体" w:eastAsia="楷体_GB2312" w:cs="宋体"/>
                <w:kern w:val="0"/>
                <w:sz w:val="24"/>
                <w:szCs w:val="24"/>
              </w:rPr>
              <w:t>:</w:t>
            </w:r>
            <w:r>
              <w:rPr>
                <w:rFonts w:hint="eastAsia" w:ascii="楷体_GB2312" w:hAnsi="楷体" w:eastAsia="楷体_GB2312" w:cs="宋体"/>
                <w:kern w:val="0"/>
                <w:sz w:val="24"/>
                <w:szCs w:val="24"/>
              </w:rPr>
              <w:t>7.3</w:t>
            </w:r>
          </w:p>
          <w:p>
            <w:pPr>
              <w:spacing w:line="280" w:lineRule="exact"/>
              <w:rPr>
                <w:rFonts w:ascii="楷体_GB2312" w:hAnsi="楷体" w:eastAsia="楷体_GB2312"/>
                <w:b/>
                <w:sz w:val="24"/>
                <w:szCs w:val="24"/>
              </w:rPr>
            </w:pPr>
          </w:p>
        </w:tc>
        <w:tc>
          <w:tcPr>
            <w:tcW w:w="9956" w:type="dxa"/>
            <w:vAlign w:val="center"/>
          </w:tcPr>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从综合部负责人辛红霞了解到，其对组织方针和所在工作岗位的环境、职业健康安全目标基本熟悉，也了解自己的工作效益会影响组织环境、职业健康安全管理体系的有效运行。</w:t>
            </w:r>
          </w:p>
          <w:p>
            <w:pPr>
              <w:spacing w:line="280" w:lineRule="exact"/>
              <w:ind w:firstLine="480" w:firstLineChars="200"/>
              <w:rPr>
                <w:rFonts w:ascii="楷体_GB2312" w:hAnsi="楷体" w:eastAsia="楷体_GB2312"/>
                <w:b/>
                <w:sz w:val="24"/>
                <w:szCs w:val="24"/>
              </w:rPr>
            </w:pPr>
            <w:r>
              <w:rPr>
                <w:rFonts w:hint="eastAsia" w:ascii="楷体_GB2312" w:hAnsi="楷体" w:eastAsia="楷体_GB2312"/>
                <w:sz w:val="24"/>
                <w:szCs w:val="24"/>
              </w:rPr>
              <w:t>综合部负责人辛红霞介绍：组织通过培训学习、宣传等方法使在组织控制范围内的相关工作人员了解到：环境、职业健康安全方针的意义；熟悉相关的环境、职业健康安全目标；员工对环境、职业健康安全管理体系有效性的贡献包括改进环境绩效的益处；不符合环境和职业健康安全管理体系要求的后果。</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tcPr>
          <w:p>
            <w:pPr>
              <w:spacing w:line="280" w:lineRule="exact"/>
              <w:rPr>
                <w:rFonts w:ascii="楷体_GB2312" w:hAnsi="楷体" w:eastAsia="楷体_GB2312"/>
                <w:bCs/>
                <w:sz w:val="24"/>
                <w:szCs w:val="24"/>
              </w:rPr>
            </w:pPr>
            <w:r>
              <w:rPr>
                <w:rFonts w:hint="eastAsia" w:ascii="楷体_GB2312" w:hAnsi="楷体" w:eastAsia="楷体_GB2312"/>
                <w:bCs/>
                <w:sz w:val="24"/>
                <w:szCs w:val="24"/>
              </w:rPr>
              <w:t>沟通/信息交流</w:t>
            </w:r>
          </w:p>
        </w:tc>
        <w:tc>
          <w:tcPr>
            <w:tcW w:w="1355" w:type="dxa"/>
          </w:tcPr>
          <w:p>
            <w:pPr>
              <w:spacing w:line="280" w:lineRule="exact"/>
              <w:rPr>
                <w:rFonts w:ascii="楷体_GB2312" w:hAnsi="楷体" w:eastAsia="楷体_GB2312"/>
                <w:bCs/>
                <w:sz w:val="24"/>
                <w:szCs w:val="24"/>
              </w:rPr>
            </w:pPr>
            <w:r>
              <w:rPr>
                <w:rFonts w:hint="eastAsia" w:ascii="楷体_GB2312" w:hAnsi="楷体" w:eastAsia="楷体_GB2312"/>
                <w:bCs/>
                <w:sz w:val="24"/>
                <w:szCs w:val="24"/>
                <w:lang w:val="en-US" w:eastAsia="zh-CN"/>
              </w:rPr>
              <w:t>Q</w:t>
            </w:r>
            <w:r>
              <w:rPr>
                <w:rFonts w:hint="eastAsia" w:ascii="楷体_GB2312" w:hAnsi="楷体" w:eastAsia="楷体_GB2312"/>
                <w:bCs/>
                <w:sz w:val="24"/>
                <w:szCs w:val="24"/>
              </w:rPr>
              <w:t>EO</w:t>
            </w:r>
            <w:r>
              <w:rPr>
                <w:rFonts w:ascii="楷体_GB2312" w:hAnsi="楷体" w:eastAsia="楷体_GB2312"/>
                <w:bCs/>
                <w:sz w:val="24"/>
                <w:szCs w:val="24"/>
              </w:rPr>
              <w:t>:</w:t>
            </w:r>
            <w:r>
              <w:rPr>
                <w:rFonts w:hint="eastAsia" w:ascii="楷体_GB2312" w:hAnsi="楷体" w:eastAsia="楷体_GB2312"/>
                <w:bCs/>
                <w:sz w:val="24"/>
                <w:szCs w:val="24"/>
              </w:rPr>
              <w:t>7.4</w:t>
            </w:r>
          </w:p>
        </w:tc>
        <w:tc>
          <w:tcPr>
            <w:tcW w:w="9956" w:type="dxa"/>
            <w:vAlign w:val="center"/>
          </w:tcPr>
          <w:p>
            <w:pPr>
              <w:spacing w:line="280" w:lineRule="exact"/>
              <w:ind w:firstLine="480" w:firstLineChars="200"/>
              <w:rPr>
                <w:rFonts w:ascii="楷体_GB2312" w:hAnsi="楷体" w:eastAsia="楷体_GB2312" w:cs="宋体"/>
                <w:bCs/>
                <w:sz w:val="24"/>
                <w:szCs w:val="24"/>
              </w:rPr>
            </w:pPr>
            <w:r>
              <w:rPr>
                <w:rFonts w:hint="eastAsia" w:ascii="楷体_GB2312" w:hAnsi="楷体" w:eastAsia="楷体_GB2312" w:cs="宋体"/>
                <w:bCs/>
                <w:sz w:val="24"/>
                <w:szCs w:val="24"/>
              </w:rPr>
              <w:t>组织按照《信息交流控制程序》对沟通过程进行控制，其内部信息内容：a)法律法规和其他要求的遵循信息；b)质量/环境/职业健康安全方针、目标和指标、管理方案的实施信息；c)重要环境因素、不可接受风险的控制信息；d)服务质量、环境和职业健康安全绩效监视和测量的结果信息；e)重大不规范服务，环境和职业健康安全事故、事件不符合信息；f)内外部审核、管理评审结果信息；g)紧急情况信息，包括事故、事件等信息；h)管理层对质量、环境、职业健康安全管理工作的指示或决定等信息；i)质量/环境/职业健康安全管理体系各程序执行情况信息；j)员工及其代表关注的职业健康安全问题、员工的意见和要求等信息；k)社会各类媒体对公司有影响的信息等。其外部信息内容：a)法律法规和其他要求的变化信息；b)顾客、社区、居民、政府和上级监督部门等相关方对服务质量、环境管理和职业健康安全管理的期望、意见、抱怨和投诉信息；c)国家、地方和行业等方面（如环保局、安全生产管理局、行业协会等）发出的规定、决定、要求或指示等信息；e)紧急情况下与外部的联络（如消防、救护、医院等）信息；f)公司向外部传递的信息，如对外宣传公司质量/环境/职业健康安全方针和目标；g)市场及社会的要求和趋向信息。</w:t>
            </w:r>
          </w:p>
          <w:p>
            <w:pPr>
              <w:spacing w:line="280" w:lineRule="exact"/>
              <w:ind w:firstLine="480" w:firstLineChars="200"/>
              <w:rPr>
                <w:rFonts w:ascii="楷体_GB2312" w:hAnsi="楷体" w:eastAsia="楷体_GB2312" w:cs="宋体"/>
                <w:bCs/>
                <w:sz w:val="24"/>
                <w:szCs w:val="24"/>
              </w:rPr>
            </w:pPr>
            <w:r>
              <w:rPr>
                <w:rFonts w:hint="eastAsia" w:ascii="楷体_GB2312" w:hAnsi="楷体" w:eastAsia="楷体_GB2312" w:cs="宋体"/>
                <w:bCs/>
                <w:sz w:val="24"/>
                <w:szCs w:val="24"/>
              </w:rPr>
              <w:t>内部交流、协商和沟通的渠道主要包括:各种会议，如公司领导办公会、工作会等；口头传达、汇报和协商；印发文件、报表或通知等；宣传栏等内部宣传设施；员工合理化建议等。</w:t>
            </w:r>
          </w:p>
          <w:p>
            <w:pPr>
              <w:spacing w:line="280" w:lineRule="exact"/>
              <w:ind w:firstLine="480" w:firstLineChars="200"/>
              <w:rPr>
                <w:rFonts w:ascii="楷体_GB2312" w:hAnsi="楷体" w:eastAsia="楷体_GB2312" w:cs="宋体"/>
                <w:bCs/>
                <w:sz w:val="24"/>
                <w:szCs w:val="24"/>
              </w:rPr>
            </w:pPr>
            <w:r>
              <w:rPr>
                <w:rFonts w:hint="eastAsia" w:ascii="楷体_GB2312" w:hAnsi="楷体" w:eastAsia="楷体_GB2312" w:cs="宋体"/>
                <w:bCs/>
                <w:sz w:val="24"/>
                <w:szCs w:val="24"/>
              </w:rPr>
              <w:t>外部交流、协商和沟通的渠道主要包括：电话、电子邮件或信函、网络等；走访或邀请来公司；招投标文件、公司对外宣传资料等。</w:t>
            </w:r>
          </w:p>
          <w:p>
            <w:pPr>
              <w:spacing w:line="280" w:lineRule="exact"/>
              <w:ind w:firstLine="480" w:firstLineChars="200"/>
              <w:rPr>
                <w:rFonts w:ascii="楷体_GB2312" w:eastAsia="楷体_GB2312"/>
                <w:bCs/>
                <w:sz w:val="24"/>
                <w:szCs w:val="24"/>
              </w:rPr>
            </w:pPr>
            <w:r>
              <w:rPr>
                <w:rFonts w:hint="eastAsia" w:ascii="楷体_GB2312" w:hAnsi="楷体" w:eastAsia="楷体_GB2312" w:cs="宋体"/>
                <w:bCs/>
                <w:sz w:val="24"/>
                <w:szCs w:val="24"/>
              </w:rPr>
              <w:t>抽查外部沟通案例：《致相关方的信》（2021年7月15日）；沟通对象：公司业务往来方；沟通内容：环境和职业健康安全方面包括：1.公司环境和职业健康方针目标；2.配合事项等。基本能够保证有效传达。</w:t>
            </w:r>
          </w:p>
        </w:tc>
        <w:tc>
          <w:tcPr>
            <w:tcW w:w="1148" w:type="dxa"/>
          </w:tcPr>
          <w:p>
            <w:pPr>
              <w:rPr>
                <w:rFonts w:ascii="楷体_GB2312" w:hAnsi="楷体" w:eastAsia="楷体_GB2312"/>
                <w:bCs/>
                <w:color w:val="FF0000"/>
                <w:sz w:val="24"/>
                <w:szCs w:val="24"/>
              </w:rPr>
            </w:pPr>
            <w:r>
              <w:rPr>
                <w:rFonts w:hint="eastAsia" w:ascii="楷体_GB2312" w:hAnsi="楷体" w:eastAsia="楷体_GB2312"/>
                <w:bCs/>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rPr>
              <w:t>成文信息</w:t>
            </w:r>
          </w:p>
          <w:p>
            <w:pPr>
              <w:spacing w:line="280" w:lineRule="exact"/>
              <w:rPr>
                <w:rFonts w:ascii="楷体_GB2312" w:hAnsi="楷体" w:eastAsia="楷体_GB2312" w:cs="宋体"/>
                <w:sz w:val="24"/>
                <w:szCs w:val="24"/>
              </w:rPr>
            </w:pPr>
          </w:p>
        </w:tc>
        <w:tc>
          <w:tcPr>
            <w:tcW w:w="1355"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lang w:val="en-US" w:eastAsia="zh-CN"/>
              </w:rPr>
              <w:t>Q</w:t>
            </w:r>
            <w:r>
              <w:rPr>
                <w:rFonts w:hint="eastAsia" w:ascii="楷体_GB2312" w:hAnsi="楷体" w:eastAsia="楷体_GB2312" w:cs="宋体"/>
                <w:kern w:val="0"/>
                <w:sz w:val="24"/>
                <w:szCs w:val="24"/>
              </w:rPr>
              <w:t>EO</w:t>
            </w:r>
            <w:r>
              <w:rPr>
                <w:rFonts w:ascii="楷体_GB2312" w:hAnsi="楷体" w:eastAsia="楷体_GB2312" w:cs="宋体"/>
                <w:kern w:val="0"/>
                <w:sz w:val="24"/>
                <w:szCs w:val="24"/>
              </w:rPr>
              <w:t>:</w:t>
            </w:r>
            <w:r>
              <w:rPr>
                <w:rFonts w:hint="eastAsia" w:ascii="楷体_GB2312" w:hAnsi="楷体" w:eastAsia="楷体_GB2312" w:cs="宋体"/>
                <w:kern w:val="0"/>
                <w:sz w:val="24"/>
                <w:szCs w:val="24"/>
              </w:rPr>
              <w:t>7.5</w:t>
            </w:r>
          </w:p>
          <w:p>
            <w:pPr>
              <w:spacing w:line="280" w:lineRule="exact"/>
              <w:rPr>
                <w:rFonts w:ascii="楷体_GB2312" w:hAnsi="楷体" w:eastAsia="楷体_GB2312" w:cs="宋体"/>
                <w:kern w:val="0"/>
                <w:sz w:val="24"/>
                <w:szCs w:val="24"/>
              </w:rPr>
            </w:pPr>
          </w:p>
        </w:tc>
        <w:tc>
          <w:tcPr>
            <w:tcW w:w="9956" w:type="dxa"/>
            <w:vAlign w:val="center"/>
          </w:tcPr>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组织形成了文件化的管理手册、程序文件、三级管理制度文件以及所要求的相关记录。编制的程序文件基本符合标准的所有过程控制要求，过程相互关系在手册中作了简图描述，记录表单能够满足目前的体系运行需求。具体如下：</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一级文件：</w:t>
            </w:r>
            <w:r>
              <w:rPr>
                <w:rFonts w:ascii="楷体_GB2312" w:hAnsi="楷体" w:eastAsia="楷体_GB2312"/>
                <w:sz w:val="24"/>
                <w:szCs w:val="24"/>
              </w:rPr>
              <w:t>YLSC-SC-A/0-2021</w:t>
            </w:r>
            <w:r>
              <w:rPr>
                <w:rFonts w:hint="eastAsia" w:ascii="楷体_GB2312" w:hAnsi="楷体" w:eastAsia="楷体_GB2312"/>
                <w:sz w:val="24"/>
                <w:szCs w:val="24"/>
              </w:rPr>
              <w:t>《质量/环境/职业健康安全管理手册》；版本号：A/0；编制：综合部；审核：辛红霞；批准：向业壮。2021年4月10日开始实施。</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二级文件：包括《成文信息控制程序》等共2</w:t>
            </w:r>
            <w:r>
              <w:rPr>
                <w:rFonts w:ascii="楷体_GB2312" w:hAnsi="楷体" w:eastAsia="楷体_GB2312"/>
                <w:sz w:val="24"/>
                <w:szCs w:val="24"/>
              </w:rPr>
              <w:t>4</w:t>
            </w:r>
            <w:r>
              <w:rPr>
                <w:rFonts w:hint="eastAsia" w:ascii="楷体_GB2312" w:hAnsi="楷体" w:eastAsia="楷体_GB2312"/>
                <w:sz w:val="24"/>
                <w:szCs w:val="24"/>
              </w:rPr>
              <w:t>个，覆盖了质量、环境、职业健康安全标准要求的所有文件化过程，其《成文信息控制程序》对管理体系记录的标识、贮存、保护、检索、保存期限和处置等作了明确规定，符合要求。</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三层次文件：8项管理制度和作业指导书。</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四级文件包括：内审报告、供方评价表、危险源清单、环境因素清单、管理评审报告等记录。明确了记录名称、编号、使用保存部门、保存期限等，并经审核后使用。组织各记录由各使用部门保存。</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抽查归档文件整理情况，综合部已将文件进行了分类，按文件的名称、编号及时间装文件袋进行归档，文件较清洁，字迹清晰，检索方便，抽查综合部保存的记录包括内部审核资料、管理评审资料等，均已装订成册，归档文件、记录存放于通风、干燥、防蛀的文件柜内，环境干燥、通风，符合文件归档及防护的要求。</w:t>
            </w:r>
          </w:p>
          <w:p>
            <w:pPr>
              <w:spacing w:line="280" w:lineRule="exact"/>
              <w:ind w:firstLine="480" w:firstLineChars="200"/>
              <w:rPr>
                <w:rFonts w:ascii="楷体_GB2312" w:hAnsi="楷体" w:eastAsia="楷体_GB2312"/>
                <w:sz w:val="24"/>
                <w:szCs w:val="24"/>
              </w:rPr>
            </w:pPr>
            <w:r>
              <w:rPr>
                <w:rFonts w:hint="eastAsia" w:ascii="楷体_GB2312" w:hAnsi="楷体" w:eastAsia="楷体_GB2312" w:cs="宋体"/>
                <w:sz w:val="24"/>
                <w:szCs w:val="24"/>
              </w:rPr>
              <w:t>抽查文件发放记录：</w:t>
            </w:r>
            <w:r>
              <w:rPr>
                <w:rFonts w:hint="eastAsia" w:ascii="楷体_GB2312" w:hAnsi="楷体" w:eastAsia="楷体_GB2312"/>
                <w:sz w:val="24"/>
                <w:szCs w:val="24"/>
              </w:rPr>
              <w:t>综合部</w:t>
            </w:r>
            <w:r>
              <w:rPr>
                <w:rFonts w:hint="eastAsia" w:ascii="楷体_GB2312" w:hAnsi="楷体" w:eastAsia="楷体_GB2312" w:cs="宋体"/>
                <w:sz w:val="24"/>
                <w:szCs w:val="24"/>
              </w:rPr>
              <w:t>2021年</w:t>
            </w:r>
            <w:r>
              <w:rPr>
                <w:rFonts w:ascii="楷体_GB2312" w:hAnsi="楷体" w:eastAsia="楷体_GB2312" w:cs="宋体"/>
                <w:sz w:val="24"/>
                <w:szCs w:val="24"/>
              </w:rPr>
              <w:t>4</w:t>
            </w:r>
            <w:r>
              <w:rPr>
                <w:rFonts w:hint="eastAsia" w:ascii="楷体_GB2312" w:hAnsi="楷体" w:eastAsia="楷体_GB2312" w:cs="宋体"/>
                <w:sz w:val="24"/>
                <w:szCs w:val="24"/>
              </w:rPr>
              <w:t>月10日</w:t>
            </w:r>
            <w:r>
              <w:rPr>
                <w:rFonts w:hint="eastAsia" w:ascii="楷体_GB2312" w:hAnsi="楷体" w:eastAsia="楷体_GB2312"/>
                <w:sz w:val="24"/>
                <w:szCs w:val="24"/>
              </w:rPr>
              <w:t>有管理手册、程序文件、8个管理制度等文件的发放记录。</w:t>
            </w:r>
          </w:p>
          <w:p>
            <w:pPr>
              <w:spacing w:line="280" w:lineRule="exact"/>
              <w:ind w:firstLine="480" w:firstLineChars="200"/>
              <w:rPr>
                <w:rFonts w:hint="eastAsia" w:ascii="楷体_GB2312" w:hAnsi="楷体" w:eastAsia="楷体_GB2312"/>
                <w:sz w:val="24"/>
                <w:szCs w:val="24"/>
              </w:rPr>
            </w:pPr>
            <w:r>
              <w:rPr>
                <w:rFonts w:hint="eastAsia" w:ascii="楷体_GB2312" w:hAnsi="楷体" w:eastAsia="楷体_GB2312"/>
                <w:sz w:val="24"/>
                <w:szCs w:val="24"/>
              </w:rPr>
              <w:t>查外来文件：公司识别了与管理体系运行有关的国家法律法规及标准、行业、地方颁布的条例、标准、规范、规程、办法等，公司识别的适用法律法规和标准内容基本完整，与生产实际吻合，能够满足要求。</w:t>
            </w:r>
          </w:p>
          <w:p>
            <w:pPr>
              <w:spacing w:line="280" w:lineRule="exact"/>
              <w:ind w:firstLine="480" w:firstLineChars="200"/>
              <w:rPr>
                <w:rFonts w:hint="eastAsia" w:ascii="楷体_GB2312" w:hAnsi="楷体" w:eastAsia="楷体_GB2312"/>
                <w:sz w:val="24"/>
                <w:szCs w:val="24"/>
              </w:rPr>
            </w:pPr>
            <w:r>
              <w:rPr>
                <w:rFonts w:hint="eastAsia" w:ascii="楷体_GB2312" w:hAnsi="楷体" w:eastAsia="楷体_GB2312"/>
                <w:sz w:val="24"/>
                <w:szCs w:val="24"/>
              </w:rPr>
              <w:t>变更：暂无记录。作废：暂无记录。</w:t>
            </w:r>
          </w:p>
          <w:p>
            <w:pPr>
              <w:spacing w:line="280" w:lineRule="exact"/>
              <w:ind w:firstLine="480" w:firstLineChars="200"/>
              <w:rPr>
                <w:rFonts w:hint="eastAsia" w:ascii="楷体_GB2312" w:hAnsi="楷体" w:eastAsia="楷体_GB2312"/>
                <w:sz w:val="24"/>
                <w:szCs w:val="24"/>
              </w:rPr>
            </w:pPr>
            <w:r>
              <w:rPr>
                <w:rFonts w:hint="eastAsia" w:ascii="楷体_GB2312" w:hAnsi="楷体" w:eastAsia="楷体_GB2312"/>
                <w:sz w:val="24"/>
                <w:szCs w:val="24"/>
              </w:rPr>
              <w:t>综上，组织的文件、记录等的控制基本有效。</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4" w:hRule="atLeast"/>
          <w:jc w:val="center"/>
        </w:trPr>
        <w:tc>
          <w:tcPr>
            <w:tcW w:w="1872" w:type="dxa"/>
          </w:tcPr>
          <w:p>
            <w:pPr>
              <w:spacing w:line="280" w:lineRule="exact"/>
              <w:rPr>
                <w:rFonts w:ascii="楷体_GB2312" w:hAnsi="楷体" w:eastAsia="楷体_GB2312" w:cs="宋体"/>
                <w:sz w:val="24"/>
                <w:szCs w:val="24"/>
              </w:rPr>
            </w:pPr>
            <w:r>
              <w:rPr>
                <w:rFonts w:hint="eastAsia" w:ascii="楷体_GB2312" w:hAnsi="楷体" w:eastAsia="楷体_GB2312" w:cs="宋体"/>
                <w:sz w:val="24"/>
                <w:szCs w:val="24"/>
              </w:rPr>
              <w:t>运行的策划和控制</w:t>
            </w:r>
          </w:p>
        </w:tc>
        <w:tc>
          <w:tcPr>
            <w:tcW w:w="1355"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rPr>
              <w:t>E0</w:t>
            </w:r>
            <w:r>
              <w:rPr>
                <w:rFonts w:ascii="楷体_GB2312" w:hAnsi="楷体" w:eastAsia="楷体_GB2312" w:cs="宋体"/>
                <w:kern w:val="0"/>
                <w:sz w:val="24"/>
                <w:szCs w:val="24"/>
              </w:rPr>
              <w:t>:</w:t>
            </w:r>
            <w:r>
              <w:rPr>
                <w:rFonts w:hint="eastAsia" w:ascii="楷体_GB2312" w:hAnsi="楷体" w:eastAsia="楷体_GB2312" w:cs="宋体"/>
                <w:kern w:val="0"/>
                <w:sz w:val="24"/>
                <w:szCs w:val="24"/>
              </w:rPr>
              <w:t>8.1</w:t>
            </w:r>
          </w:p>
        </w:tc>
        <w:tc>
          <w:tcPr>
            <w:tcW w:w="9956" w:type="dxa"/>
            <w:vAlign w:val="center"/>
          </w:tcPr>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组织制定了《职工健康管理程序》、《职业健康安全绩效测量和监视控制程序》和《环境监测和测量控制程序》等过程控制程序及相关运行准则《废弃物管理办法》《节能降耗管理办法》和《用电安全管理制度》《消防管理制度》《劳保防护用品管理办法》《员工健康保护规定》等。根据准则要求，综合部负责综合部负责对废弃物处理工作进行监督和检查。综合部和公司各职能部门负责相应的废弃物具体处理措施和管理办法的执行和实施。</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提供2021年度《安全绩效监测评价报告》（2021年4月26日），对2021年4月职业健康安全体系运行情况进行评价、分析。</w:t>
            </w:r>
          </w:p>
          <w:p>
            <w:pPr>
              <w:ind w:firstLine="480" w:firstLineChars="200"/>
              <w:rPr>
                <w:rFonts w:ascii="楷体_GB2312" w:hAnsi="楷体" w:eastAsia="楷体_GB2312"/>
                <w:sz w:val="24"/>
                <w:szCs w:val="24"/>
              </w:rPr>
            </w:pPr>
            <w:r>
              <w:rPr>
                <w:rFonts w:hint="eastAsia" w:ascii="楷体_GB2312" w:hAnsi="楷体" w:eastAsia="楷体_GB2312"/>
                <w:sz w:val="24"/>
                <w:szCs w:val="24"/>
              </w:rPr>
              <w:t>提供《2021年度固体废弃物处理记录》：</w:t>
            </w:r>
          </w:p>
          <w:p>
            <w:pPr>
              <w:ind w:firstLine="42" w:firstLineChars="20"/>
              <w:jc w:val="center"/>
              <w:rPr>
                <w:rFonts w:ascii="楷体_GB2312" w:hAnsi="楷体" w:eastAsia="楷体_GB2312"/>
                <w:sz w:val="24"/>
                <w:szCs w:val="24"/>
              </w:rPr>
            </w:pPr>
            <w:r>
              <w:drawing>
                <wp:inline distT="0" distB="0" distL="0" distR="0">
                  <wp:extent cx="3411855" cy="30702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3411940" cy="3070395"/>
                          </a:xfrm>
                          <a:prstGeom prst="rect">
                            <a:avLst/>
                          </a:prstGeom>
                        </pic:spPr>
                      </pic:pic>
                    </a:graphicData>
                  </a:graphic>
                </wp:inline>
              </w:drawing>
            </w:r>
          </w:p>
          <w:p>
            <w:pPr>
              <w:ind w:firstLine="420" w:firstLineChars="200"/>
              <w:rPr>
                <w:rFonts w:hint="eastAsia"/>
              </w:rPr>
            </w:pPr>
          </w:p>
          <w:p>
            <w:pPr>
              <w:ind w:firstLine="480" w:firstLineChars="200"/>
              <w:rPr>
                <w:rFonts w:ascii="楷体_GB2312" w:hAnsi="楷体" w:eastAsia="楷体_GB2312"/>
                <w:sz w:val="24"/>
                <w:szCs w:val="24"/>
              </w:rPr>
            </w:pPr>
            <w:r>
              <w:rPr>
                <w:rFonts w:hint="eastAsia" w:ascii="楷体_GB2312" w:hAnsi="楷体" w:eastAsia="楷体_GB2312"/>
                <w:sz w:val="24"/>
                <w:szCs w:val="24"/>
              </w:rPr>
              <w:t>提供了《办公区域环境安全运行检查记录》，抽查其中2个月的记录：</w:t>
            </w:r>
          </w:p>
          <w:p>
            <w:pPr>
              <w:ind w:firstLine="420" w:firstLineChars="200"/>
              <w:rPr>
                <w:rFonts w:ascii="楷体_GB2312" w:hAnsi="楷体" w:eastAsia="楷体_GB2312"/>
                <w:sz w:val="24"/>
                <w:szCs w:val="24"/>
              </w:rPr>
            </w:pPr>
            <w:r>
              <w:drawing>
                <wp:inline distT="0" distB="0" distL="0" distR="0">
                  <wp:extent cx="2872740" cy="39293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2872854" cy="3929442"/>
                          </a:xfrm>
                          <a:prstGeom prst="rect">
                            <a:avLst/>
                          </a:prstGeom>
                        </pic:spPr>
                      </pic:pic>
                    </a:graphicData>
                  </a:graphic>
                </wp:inline>
              </w:drawing>
            </w:r>
            <w:r>
              <w:drawing>
                <wp:inline distT="0" distB="0" distL="0" distR="0">
                  <wp:extent cx="2981960" cy="40582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2982036" cy="4058480"/>
                          </a:xfrm>
                          <a:prstGeom prst="rect">
                            <a:avLst/>
                          </a:prstGeom>
                        </pic:spPr>
                      </pic:pic>
                    </a:graphicData>
                  </a:graphic>
                </wp:inline>
              </w:drawing>
            </w:r>
          </w:p>
          <w:p>
            <w:pPr>
              <w:ind w:firstLine="480" w:firstLineChars="200"/>
              <w:rPr>
                <w:rFonts w:hint="eastAsia" w:ascii="楷体_GB2312" w:hAnsi="楷体" w:eastAsia="楷体_GB2312"/>
                <w:sz w:val="24"/>
                <w:szCs w:val="24"/>
              </w:rPr>
            </w:pPr>
            <w:r>
              <w:rPr>
                <w:rFonts w:hint="eastAsia" w:ascii="楷体_GB2312" w:hAnsi="楷体" w:eastAsia="楷体_GB2312"/>
                <w:sz w:val="24"/>
                <w:szCs w:val="24"/>
              </w:rPr>
              <w:t>检查频次每月一次、检查项目完整无遗漏。</w:t>
            </w:r>
          </w:p>
        </w:tc>
        <w:tc>
          <w:tcPr>
            <w:tcW w:w="1148" w:type="dxa"/>
            <w:vAlign w:val="center"/>
          </w:tcPr>
          <w:p>
            <w:pPr>
              <w:jc w:val="cente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tcPr>
          <w:p>
            <w:pPr>
              <w:spacing w:line="280" w:lineRule="exact"/>
              <w:rPr>
                <w:rFonts w:ascii="楷体_GB2312" w:hAnsi="楷体" w:eastAsia="楷体_GB2312" w:cs="宋体"/>
                <w:sz w:val="24"/>
                <w:szCs w:val="24"/>
              </w:rPr>
            </w:pPr>
            <w:r>
              <w:rPr>
                <w:rFonts w:hint="eastAsia" w:ascii="楷体_GB2312" w:hAnsi="楷体" w:eastAsia="楷体_GB2312" w:cs="宋体"/>
                <w:sz w:val="24"/>
                <w:szCs w:val="24"/>
              </w:rPr>
              <w:t>应急准备和响应</w:t>
            </w:r>
          </w:p>
        </w:tc>
        <w:tc>
          <w:tcPr>
            <w:tcW w:w="1355"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rPr>
              <w:t>EO</w:t>
            </w:r>
            <w:r>
              <w:rPr>
                <w:rFonts w:ascii="楷体_GB2312" w:hAnsi="楷体" w:eastAsia="楷体_GB2312" w:cs="宋体"/>
                <w:kern w:val="0"/>
                <w:sz w:val="24"/>
                <w:szCs w:val="24"/>
              </w:rPr>
              <w:t>:</w:t>
            </w:r>
            <w:r>
              <w:rPr>
                <w:rFonts w:hint="eastAsia" w:ascii="楷体_GB2312" w:hAnsi="楷体" w:eastAsia="楷体_GB2312" w:cs="宋体"/>
                <w:kern w:val="0"/>
                <w:sz w:val="24"/>
                <w:szCs w:val="24"/>
              </w:rPr>
              <w:t>8.2</w:t>
            </w:r>
          </w:p>
        </w:tc>
        <w:tc>
          <w:tcPr>
            <w:tcW w:w="9956" w:type="dxa"/>
            <w:vAlign w:val="center"/>
          </w:tcPr>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公司制定了《应急准备与响应程序》，识别潜在事故或紧急情况因素：1）依据《环境因素识别与评价控制程序》和《危险源辨识与风险评价控制程序》确定的重要环境因素和重大危险源均为潜在事故或紧急情况。2）其他潜在事故或紧急情况因素包括：火灾及爆炸；地震、大风、暴雨、洪水或雷击等自然灾害；作业窒息、急性食物中毒和中暑；传染疾病等公共卫生事件等。均规定了相应的应急响应措施，并制定了应急预案如《触电事故应急救援预案》。</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抽查2021年</w:t>
            </w:r>
            <w:r>
              <w:rPr>
                <w:rFonts w:ascii="楷体_GB2312" w:hAnsi="楷体" w:eastAsia="楷体_GB2312"/>
                <w:sz w:val="24"/>
                <w:szCs w:val="24"/>
              </w:rPr>
              <w:t>5</w:t>
            </w:r>
            <w:r>
              <w:rPr>
                <w:rFonts w:hint="eastAsia" w:ascii="楷体_GB2312" w:hAnsi="楷体" w:eastAsia="楷体_GB2312"/>
                <w:sz w:val="24"/>
                <w:szCs w:val="24"/>
              </w:rPr>
              <w:t>月</w:t>
            </w:r>
            <w:r>
              <w:rPr>
                <w:rFonts w:ascii="楷体_GB2312" w:hAnsi="楷体" w:eastAsia="楷体_GB2312"/>
                <w:sz w:val="24"/>
                <w:szCs w:val="24"/>
              </w:rPr>
              <w:t>24</w:t>
            </w:r>
            <w:r>
              <w:rPr>
                <w:rFonts w:hint="eastAsia" w:ascii="楷体_GB2312" w:hAnsi="楷体" w:eastAsia="楷体_GB2312"/>
                <w:sz w:val="24"/>
                <w:szCs w:val="24"/>
              </w:rPr>
              <w:t>日开展的《触电应急演练记录》，演练内容包括：时间、地点、参加人员、内容、物资准备、演练过程、演练总结、效果评价等，记录基本完整，整个演练过程涉及的发生人员触电，倒在地下，处于休克状态等，覆盖了《触电事故应急救援预案》的内容，对相关重要问题和关键节点作了总结和效果评价，符合控制要求。</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vAlign w:val="top"/>
          </w:tcPr>
          <w:p>
            <w:pPr>
              <w:spacing w:line="28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外部提供过程、服务和服务的控制</w:t>
            </w:r>
          </w:p>
          <w:p>
            <w:pPr>
              <w:spacing w:line="280" w:lineRule="exact"/>
              <w:rPr>
                <w:rFonts w:hint="eastAsia" w:ascii="楷体_GB2312" w:hAnsi="楷体" w:eastAsia="楷体_GB2312" w:cs="宋体"/>
                <w:color w:val="auto"/>
                <w:sz w:val="24"/>
                <w:szCs w:val="24"/>
              </w:rPr>
            </w:pPr>
          </w:p>
        </w:tc>
        <w:tc>
          <w:tcPr>
            <w:tcW w:w="1355" w:type="dxa"/>
            <w:vAlign w:val="top"/>
          </w:tcPr>
          <w:p>
            <w:pPr>
              <w:spacing w:line="280" w:lineRule="exact"/>
              <w:rPr>
                <w:rFonts w:ascii="楷体" w:hAnsi="楷体" w:eastAsia="楷体" w:cs="宋体"/>
                <w:color w:val="auto"/>
                <w:kern w:val="0"/>
                <w:sz w:val="24"/>
                <w:szCs w:val="24"/>
              </w:rPr>
            </w:pPr>
            <w:r>
              <w:rPr>
                <w:rFonts w:hint="eastAsia" w:ascii="楷体" w:hAnsi="楷体" w:eastAsia="楷体" w:cs="宋体"/>
                <w:color w:val="auto"/>
                <w:sz w:val="24"/>
                <w:szCs w:val="24"/>
              </w:rPr>
              <w:t>Q</w:t>
            </w:r>
            <w:r>
              <w:rPr>
                <w:rFonts w:hint="eastAsia" w:ascii="楷体" w:hAnsi="楷体" w:eastAsia="楷体" w:cs="宋体"/>
                <w:color w:val="auto"/>
                <w:kern w:val="0"/>
                <w:sz w:val="24"/>
                <w:szCs w:val="24"/>
              </w:rPr>
              <w:t>8.4</w:t>
            </w:r>
          </w:p>
          <w:p>
            <w:pPr>
              <w:spacing w:line="280" w:lineRule="exact"/>
              <w:rPr>
                <w:rFonts w:ascii="楷体_GB2312" w:hAnsi="楷体" w:eastAsia="楷体_GB2312" w:cs="宋体"/>
                <w:color w:val="auto"/>
                <w:kern w:val="0"/>
                <w:sz w:val="24"/>
                <w:szCs w:val="24"/>
              </w:rPr>
            </w:pPr>
          </w:p>
        </w:tc>
        <w:tc>
          <w:tcPr>
            <w:tcW w:w="9956" w:type="dxa"/>
            <w:vAlign w:val="center"/>
          </w:tcPr>
          <w:p>
            <w:pPr>
              <w:spacing w:line="280" w:lineRule="exact"/>
              <w:ind w:firstLine="480" w:firstLineChars="200"/>
              <w:jc w:val="both"/>
              <w:rPr>
                <w:rFonts w:hint="eastAsia" w:ascii="楷体" w:hAnsi="楷体" w:eastAsia="楷体"/>
                <w:color w:val="auto"/>
                <w:sz w:val="24"/>
                <w:szCs w:val="24"/>
                <w:lang w:val="en-US" w:eastAsia="zh-CN"/>
              </w:rPr>
            </w:pPr>
            <w:r>
              <w:rPr>
                <w:rFonts w:hint="eastAsia" w:ascii="楷体" w:hAnsi="楷体" w:eastAsia="楷体"/>
                <w:color w:val="auto"/>
                <w:sz w:val="24"/>
                <w:szCs w:val="24"/>
                <w:lang w:val="en-US" w:eastAsia="zh-CN"/>
              </w:rPr>
              <w:t>组织按照《采购控制程序》和组织采购产品主要是水产品，另采购相关渔具养鱼设备，组织的外包过程包括：无。</w:t>
            </w:r>
          </w:p>
          <w:p>
            <w:pPr>
              <w:spacing w:line="280" w:lineRule="exact"/>
              <w:ind w:firstLine="480" w:firstLineChars="200"/>
              <w:jc w:val="both"/>
              <w:rPr>
                <w:rFonts w:hint="eastAsia" w:ascii="楷体" w:hAnsi="楷体" w:eastAsia="楷体"/>
                <w:color w:val="auto"/>
                <w:sz w:val="24"/>
                <w:szCs w:val="24"/>
                <w:lang w:val="en-US" w:eastAsia="zh-CN"/>
              </w:rPr>
            </w:pPr>
            <w:r>
              <w:rPr>
                <w:rFonts w:hint="eastAsia" w:ascii="楷体" w:hAnsi="楷体" w:eastAsia="楷体"/>
                <w:color w:val="auto"/>
                <w:sz w:val="24"/>
                <w:szCs w:val="24"/>
                <w:lang w:val="en-US" w:eastAsia="zh-CN"/>
              </w:rPr>
              <w:t>抽查采购合同如下：</w:t>
            </w:r>
          </w:p>
          <w:p>
            <w:pPr>
              <w:numPr>
                <w:ilvl w:val="0"/>
                <w:numId w:val="0"/>
              </w:numPr>
              <w:spacing w:line="280" w:lineRule="exact"/>
              <w:ind w:firstLine="480" w:firstLineChars="200"/>
              <w:jc w:val="both"/>
              <w:rPr>
                <w:rFonts w:hint="eastAsia" w:ascii="楷体" w:hAnsi="楷体" w:eastAsia="楷体"/>
                <w:color w:val="FF0000"/>
                <w:sz w:val="24"/>
                <w:szCs w:val="24"/>
                <w:lang w:val="en-US" w:eastAsia="zh-CN"/>
              </w:rPr>
            </w:pPr>
            <w:r>
              <w:rPr>
                <w:rFonts w:hint="eastAsia" w:ascii="楷体" w:hAnsi="楷体" w:eastAsia="楷体"/>
                <w:color w:val="FF0000"/>
                <w:sz w:val="24"/>
                <w:szCs w:val="24"/>
                <w:lang w:val="en-US" w:eastAsia="zh-CN"/>
              </w:rPr>
              <w:t>1.合同编号：YQ210607A；供应商：双乐颜料股份有限公司；采购产品：4940中铬黄；产品编号：YL-4940；数量：1000kg；签订日期：2021.6.7；</w:t>
            </w:r>
          </w:p>
          <w:p>
            <w:pPr>
              <w:numPr>
                <w:ilvl w:val="0"/>
                <w:numId w:val="0"/>
              </w:numPr>
              <w:spacing w:line="280" w:lineRule="exact"/>
              <w:ind w:firstLine="480" w:firstLineChars="200"/>
              <w:jc w:val="both"/>
              <w:rPr>
                <w:rFonts w:hint="default" w:ascii="楷体" w:hAnsi="楷体" w:eastAsia="楷体"/>
                <w:color w:val="auto"/>
                <w:sz w:val="24"/>
                <w:szCs w:val="24"/>
                <w:lang w:val="en-US" w:eastAsia="zh-CN"/>
              </w:rPr>
            </w:pPr>
            <w:bookmarkStart w:id="0" w:name="_GoBack"/>
            <w:bookmarkEnd w:id="0"/>
            <w:r>
              <w:rPr>
                <w:rFonts w:hint="eastAsia" w:ascii="楷体" w:hAnsi="楷体" w:eastAsia="楷体"/>
                <w:color w:val="auto"/>
                <w:sz w:val="24"/>
                <w:szCs w:val="24"/>
                <w:lang w:val="en-US" w:eastAsia="zh-CN"/>
              </w:rPr>
              <w:t>合同就产品质量标准、交付时间和地点、运输方式、包装标准、验收标准等内容作了约定，基本满足合同控制要求。</w:t>
            </w:r>
          </w:p>
          <w:p>
            <w:pPr>
              <w:spacing w:line="280" w:lineRule="exact"/>
              <w:ind w:firstLine="480" w:firstLineChars="200"/>
              <w:jc w:val="left"/>
              <w:rPr>
                <w:rFonts w:hint="eastAsia" w:ascii="楷体" w:hAnsi="楷体" w:eastAsia="楷体" w:cs="Times New Roman"/>
                <w:bCs w:val="0"/>
                <w:color w:val="auto"/>
                <w:spacing w:val="0"/>
                <w:kern w:val="2"/>
                <w:sz w:val="24"/>
                <w:szCs w:val="24"/>
                <w:lang w:val="en-US" w:eastAsia="zh-CN" w:bidi="ar-SA"/>
              </w:rPr>
            </w:pPr>
            <w:r>
              <w:rPr>
                <w:rFonts w:hint="eastAsia" w:ascii="楷体" w:hAnsi="楷体" w:eastAsia="楷体" w:cs="Times New Roman"/>
                <w:bCs w:val="0"/>
                <w:color w:val="auto"/>
                <w:spacing w:val="0"/>
                <w:kern w:val="2"/>
                <w:sz w:val="24"/>
                <w:szCs w:val="24"/>
                <w:lang w:val="en-US" w:eastAsia="zh-CN" w:bidi="ar-SA"/>
              </w:rPr>
              <w:t>抽查供应商评价记录如下：</w:t>
            </w:r>
          </w:p>
          <w:p>
            <w:pPr>
              <w:numPr>
                <w:ilvl w:val="0"/>
                <w:numId w:val="0"/>
              </w:numPr>
              <w:spacing w:line="280" w:lineRule="exact"/>
              <w:ind w:firstLine="480" w:firstLineChars="200"/>
              <w:jc w:val="left"/>
              <w:rPr>
                <w:rFonts w:hint="default" w:ascii="楷体" w:hAnsi="楷体" w:eastAsia="楷体"/>
                <w:color w:val="auto"/>
                <w:sz w:val="24"/>
                <w:szCs w:val="24"/>
                <w:lang w:val="en-US" w:eastAsia="zh-CN"/>
              </w:rPr>
            </w:pPr>
            <w:r>
              <w:rPr>
                <w:rFonts w:hint="eastAsia" w:ascii="楷体" w:hAnsi="楷体" w:eastAsia="楷体" w:cs="Times New Roman"/>
                <w:bCs w:val="0"/>
                <w:color w:val="auto"/>
                <w:spacing w:val="0"/>
                <w:kern w:val="2"/>
                <w:sz w:val="24"/>
                <w:szCs w:val="24"/>
                <w:lang w:val="en-US" w:eastAsia="zh-CN" w:bidi="ar-SA"/>
              </w:rPr>
              <w:t>1.供应商现场审核记录：工厂名称：联华超市德景园店</w:t>
            </w:r>
            <w:r>
              <w:rPr>
                <w:rFonts w:hint="eastAsia" w:ascii="楷体" w:hAnsi="楷体" w:eastAsia="楷体"/>
                <w:color w:val="auto"/>
                <w:sz w:val="24"/>
                <w:szCs w:val="24"/>
                <w:lang w:val="en-US" w:eastAsia="zh-CN"/>
              </w:rPr>
              <w:t>；审核内容从产品质量、产品价格、包括营业执照等合法性资料，基本满足审核控制要求；</w:t>
            </w:r>
          </w:p>
          <w:p>
            <w:pPr>
              <w:spacing w:line="280" w:lineRule="exact"/>
              <w:ind w:firstLine="480" w:firstLineChars="200"/>
              <w:jc w:val="left"/>
              <w:rPr>
                <w:color w:val="FF0000"/>
              </w:rPr>
            </w:pPr>
            <w:r>
              <w:rPr>
                <w:rFonts w:hint="eastAsia" w:ascii="楷体" w:hAnsi="楷体" w:eastAsia="楷体"/>
                <w:color w:val="auto"/>
                <w:sz w:val="24"/>
                <w:szCs w:val="24"/>
                <w:lang w:val="en-US" w:eastAsia="zh-CN"/>
              </w:rPr>
              <w:t>在采购控制程序中已规定了采购产品验证的方式，并且应在采购验证的要求中得到规定，在本公司检验或在顾客处进行检验情况，具体详见审核质量部8.6条款记录。</w:t>
            </w:r>
          </w:p>
        </w:tc>
        <w:tc>
          <w:tcPr>
            <w:tcW w:w="1148" w:type="dxa"/>
          </w:tcPr>
          <w:p>
            <w:pPr>
              <w:rPr>
                <w:rFonts w:hint="eastAsia" w:ascii="楷体_GB2312" w:hAnsi="楷体" w:eastAsia="楷体_GB2312"/>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tcPr>
          <w:p>
            <w:pPr>
              <w:spacing w:line="280" w:lineRule="exact"/>
              <w:rPr>
                <w:rFonts w:ascii="楷体_GB2312" w:hAnsi="楷体" w:eastAsia="楷体_GB2312" w:cs="宋体"/>
                <w:sz w:val="24"/>
                <w:szCs w:val="24"/>
              </w:rPr>
            </w:pPr>
            <w:r>
              <w:rPr>
                <w:rFonts w:hint="eastAsia" w:ascii="楷体_GB2312" w:hAnsi="楷体" w:eastAsia="楷体_GB2312" w:cs="宋体"/>
                <w:sz w:val="24"/>
                <w:szCs w:val="24"/>
              </w:rPr>
              <w:t>监视、测量、分析和评价 总则</w:t>
            </w:r>
          </w:p>
        </w:tc>
        <w:tc>
          <w:tcPr>
            <w:tcW w:w="1355" w:type="dxa"/>
          </w:tcPr>
          <w:p>
            <w:pPr>
              <w:spacing w:line="280" w:lineRule="exact"/>
              <w:rPr>
                <w:rFonts w:ascii="楷体_GB2312" w:hAnsi="楷体" w:eastAsia="楷体_GB2312"/>
                <w:sz w:val="24"/>
                <w:szCs w:val="24"/>
              </w:rPr>
            </w:pPr>
            <w:r>
              <w:rPr>
                <w:rFonts w:hint="eastAsia" w:ascii="楷体_GB2312" w:hAnsi="楷体" w:eastAsia="楷体_GB2312"/>
                <w:sz w:val="24"/>
                <w:szCs w:val="24"/>
                <w:lang w:val="en-US" w:eastAsia="zh-CN"/>
              </w:rPr>
              <w:t>Q</w:t>
            </w:r>
            <w:r>
              <w:rPr>
                <w:rFonts w:hint="eastAsia" w:ascii="楷体_GB2312" w:hAnsi="楷体" w:eastAsia="楷体_GB2312"/>
                <w:sz w:val="24"/>
                <w:szCs w:val="24"/>
              </w:rPr>
              <w:t>EO</w:t>
            </w:r>
            <w:r>
              <w:rPr>
                <w:rFonts w:ascii="楷体_GB2312" w:hAnsi="楷体" w:eastAsia="楷体_GB2312"/>
                <w:sz w:val="24"/>
                <w:szCs w:val="24"/>
              </w:rPr>
              <w:t>:</w:t>
            </w:r>
            <w:r>
              <w:rPr>
                <w:rFonts w:hint="eastAsia" w:ascii="楷体_GB2312" w:hAnsi="楷体" w:eastAsia="楷体_GB2312"/>
                <w:sz w:val="24"/>
                <w:szCs w:val="24"/>
              </w:rPr>
              <w:t>9.1.1</w:t>
            </w:r>
          </w:p>
          <w:p>
            <w:pPr>
              <w:spacing w:line="280" w:lineRule="exact"/>
              <w:rPr>
                <w:rFonts w:ascii="楷体_GB2312" w:hAnsi="楷体" w:eastAsia="楷体_GB2312" w:cs="宋体"/>
                <w:kern w:val="0"/>
                <w:sz w:val="24"/>
                <w:szCs w:val="24"/>
              </w:rPr>
            </w:pPr>
          </w:p>
        </w:tc>
        <w:tc>
          <w:tcPr>
            <w:tcW w:w="9956" w:type="dxa"/>
            <w:vAlign w:val="center"/>
          </w:tcPr>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综合部对管理体系的过程能力进行监视和测量，主要通过内审对管理体系运行的符合性和有效性进行监测，内审详见综合部审核9.2条款；再通过管理评审对管理体系的充分性、有效性和适宜性作了肯定的评价，详见管理层9.2条款记录；通过目标考评，监测管理体系运行的有效性，详见综合部审核6.2条款。</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综合部每月开展环境运行绩效和安全运行绩效的综合评价，纠正发现的问题，得出评价结论，抽查9月份评价记录如下：</w:t>
            </w:r>
          </w:p>
          <w:p>
            <w:pPr>
              <w:jc w:val="center"/>
              <w:rPr>
                <w:rFonts w:hint="eastAsia"/>
              </w:rPr>
            </w:pPr>
            <w:r>
              <w:drawing>
                <wp:inline distT="0" distB="0" distL="0" distR="0">
                  <wp:extent cx="2320290" cy="35509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2344228" cy="3587487"/>
                          </a:xfrm>
                          <a:prstGeom prst="rect">
                            <a:avLst/>
                          </a:prstGeom>
                        </pic:spPr>
                      </pic:pic>
                    </a:graphicData>
                  </a:graphic>
                </wp:inline>
              </w:drawing>
            </w:r>
            <w:r>
              <w:drawing>
                <wp:inline distT="0" distB="0" distL="0" distR="0">
                  <wp:extent cx="2367280" cy="35509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385530" cy="3578494"/>
                          </a:xfrm>
                          <a:prstGeom prst="rect">
                            <a:avLst/>
                          </a:prstGeom>
                        </pic:spPr>
                      </pic:pic>
                    </a:graphicData>
                  </a:graphic>
                </wp:inline>
              </w:drawing>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tcPr>
          <w:p>
            <w:pPr>
              <w:spacing w:line="280" w:lineRule="exact"/>
              <w:rPr>
                <w:rFonts w:ascii="楷体_GB2312" w:hAnsi="楷体" w:eastAsia="楷体_GB2312" w:cs="宋体"/>
                <w:sz w:val="24"/>
                <w:szCs w:val="24"/>
              </w:rPr>
            </w:pPr>
            <w:r>
              <w:rPr>
                <w:rFonts w:hint="eastAsia" w:ascii="楷体_GB2312" w:hAnsi="楷体" w:eastAsia="楷体_GB2312" w:cs="宋体"/>
                <w:sz w:val="24"/>
                <w:szCs w:val="24"/>
              </w:rPr>
              <w:t>合规义务（法律法规要求和其他要求的确定）与合规性评价</w:t>
            </w:r>
          </w:p>
        </w:tc>
        <w:tc>
          <w:tcPr>
            <w:tcW w:w="1355"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rPr>
              <w:t>EO</w:t>
            </w:r>
            <w:r>
              <w:rPr>
                <w:rFonts w:ascii="楷体_GB2312" w:hAnsi="楷体" w:eastAsia="楷体_GB2312" w:cs="宋体"/>
                <w:kern w:val="0"/>
                <w:sz w:val="24"/>
                <w:szCs w:val="24"/>
              </w:rPr>
              <w:t>:</w:t>
            </w:r>
            <w:r>
              <w:rPr>
                <w:rFonts w:hint="eastAsia" w:ascii="楷体_GB2312" w:hAnsi="楷体" w:eastAsia="楷体_GB2312" w:cs="宋体"/>
                <w:sz w:val="24"/>
                <w:szCs w:val="24"/>
              </w:rPr>
              <w:t>6.1.3</w:t>
            </w:r>
            <w:r>
              <w:rPr>
                <w:rFonts w:ascii="楷体_GB2312" w:hAnsi="楷体" w:eastAsia="楷体_GB2312" w:cs="宋体"/>
                <w:sz w:val="24"/>
                <w:szCs w:val="24"/>
              </w:rPr>
              <w:t>;</w:t>
            </w:r>
            <w:r>
              <w:rPr>
                <w:rFonts w:hint="eastAsia" w:ascii="楷体_GB2312" w:hAnsi="楷体" w:eastAsia="楷体_GB2312" w:cs="宋体"/>
                <w:kern w:val="0"/>
                <w:sz w:val="24"/>
                <w:szCs w:val="24"/>
              </w:rPr>
              <w:t>9.1.2</w:t>
            </w:r>
          </w:p>
        </w:tc>
        <w:tc>
          <w:tcPr>
            <w:tcW w:w="9956" w:type="dxa"/>
            <w:vAlign w:val="center"/>
          </w:tcPr>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公司按照《法律法规和其它要求控制程序》《合规性评价控制程序》对环境、职业健康安全相关的适用法律法规进行了收集和识别、确认和分发，并开展了合规性评价。综合部负责对有关环境/安全卫生的法律、法规与其他相关要求进行识别、获取、保管与更新，并负责对环境/职业健康安全的法律、法规与其他相关要求执行情况进行符合性检查，将检查、评价结果传达到管理者代表和有关适用部门。其它职能部门根据与本部门有关的法律、法规与相关要求，通过程序文件、作业指导书与管理制度等对本部门的环境/安全卫生方面活动进行管理。</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查看《环境法律法规清单》（2021年5月20日）识别出《中华人民共和国环境保护法》等共2</w:t>
            </w:r>
            <w:r>
              <w:rPr>
                <w:rFonts w:ascii="楷体_GB2312" w:hAnsi="楷体" w:eastAsia="楷体_GB2312"/>
                <w:sz w:val="24"/>
                <w:szCs w:val="24"/>
              </w:rPr>
              <w:t>7</w:t>
            </w:r>
            <w:r>
              <w:rPr>
                <w:rFonts w:hint="eastAsia" w:ascii="楷体_GB2312" w:hAnsi="楷体" w:eastAsia="楷体_GB2312"/>
                <w:sz w:val="24"/>
                <w:szCs w:val="24"/>
              </w:rPr>
              <w:t>项环境法律法规，并与2021年7月20日对识别出的2</w:t>
            </w:r>
            <w:r>
              <w:rPr>
                <w:rFonts w:ascii="楷体_GB2312" w:hAnsi="楷体" w:eastAsia="楷体_GB2312"/>
                <w:sz w:val="24"/>
                <w:szCs w:val="24"/>
              </w:rPr>
              <w:t>7</w:t>
            </w:r>
            <w:r>
              <w:rPr>
                <w:rFonts w:hint="eastAsia" w:ascii="楷体_GB2312" w:hAnsi="楷体" w:eastAsia="楷体_GB2312"/>
                <w:sz w:val="24"/>
                <w:szCs w:val="24"/>
              </w:rPr>
              <w:t>项法律法规进行了合规评价，提供了《环境合规性评价报告》，评价结论是均“合规”。</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查看《职业健康安全法律法规清单》（2021年</w:t>
            </w:r>
            <w:r>
              <w:rPr>
                <w:rFonts w:ascii="楷体_GB2312" w:hAnsi="楷体" w:eastAsia="楷体_GB2312"/>
                <w:sz w:val="24"/>
                <w:szCs w:val="24"/>
              </w:rPr>
              <w:t>6</w:t>
            </w:r>
            <w:r>
              <w:rPr>
                <w:rFonts w:hint="eastAsia" w:ascii="楷体_GB2312" w:hAnsi="楷体" w:eastAsia="楷体_GB2312"/>
                <w:sz w:val="24"/>
                <w:szCs w:val="24"/>
              </w:rPr>
              <w:t>月</w:t>
            </w:r>
            <w:r>
              <w:rPr>
                <w:rFonts w:ascii="楷体_GB2312" w:hAnsi="楷体" w:eastAsia="楷体_GB2312"/>
                <w:sz w:val="24"/>
                <w:szCs w:val="24"/>
              </w:rPr>
              <w:t>1</w:t>
            </w:r>
            <w:r>
              <w:rPr>
                <w:rFonts w:hint="eastAsia" w:ascii="楷体_GB2312" w:hAnsi="楷体" w:eastAsia="楷体_GB2312"/>
                <w:sz w:val="24"/>
                <w:szCs w:val="24"/>
              </w:rPr>
              <w:t>0日）识别出《中华人民共和国职业病防治法》等共2</w:t>
            </w:r>
            <w:r>
              <w:rPr>
                <w:rFonts w:ascii="楷体_GB2312" w:hAnsi="楷体" w:eastAsia="楷体_GB2312"/>
                <w:sz w:val="24"/>
                <w:szCs w:val="24"/>
              </w:rPr>
              <w:t>5</w:t>
            </w:r>
            <w:r>
              <w:rPr>
                <w:rFonts w:hint="eastAsia" w:ascii="楷体_GB2312" w:hAnsi="楷体" w:eastAsia="楷体_GB2312"/>
                <w:sz w:val="24"/>
                <w:szCs w:val="24"/>
              </w:rPr>
              <w:t>项职业健康安全法律法规，并与2021年7月20日对识别出的2</w:t>
            </w:r>
            <w:r>
              <w:rPr>
                <w:rFonts w:ascii="楷体_GB2312" w:hAnsi="楷体" w:eastAsia="楷体_GB2312"/>
                <w:sz w:val="24"/>
                <w:szCs w:val="24"/>
              </w:rPr>
              <w:t>5</w:t>
            </w:r>
            <w:r>
              <w:rPr>
                <w:rFonts w:hint="eastAsia" w:ascii="楷体_GB2312" w:hAnsi="楷体" w:eastAsia="楷体_GB2312"/>
                <w:sz w:val="24"/>
                <w:szCs w:val="24"/>
              </w:rPr>
              <w:t>项职业健康安全法律法规进行了合规评价，提供的《安全法律法规合规性评价报告》，评价结论是均“合规”。</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vAlign w:val="top"/>
          </w:tcPr>
          <w:p>
            <w:pPr>
              <w:spacing w:line="280" w:lineRule="exact"/>
              <w:rPr>
                <w:rFonts w:ascii="楷体" w:hAnsi="楷体" w:eastAsia="楷体" w:cs="宋体"/>
                <w:kern w:val="0"/>
                <w:sz w:val="24"/>
                <w:szCs w:val="24"/>
              </w:rPr>
            </w:pPr>
            <w:r>
              <w:rPr>
                <w:rFonts w:hint="eastAsia" w:ascii="楷体" w:hAnsi="楷体" w:eastAsia="楷体" w:cs="宋体"/>
                <w:kern w:val="0"/>
                <w:sz w:val="24"/>
                <w:szCs w:val="24"/>
              </w:rPr>
              <w:t>分析与评价</w:t>
            </w:r>
          </w:p>
          <w:p>
            <w:pPr>
              <w:spacing w:line="280" w:lineRule="exact"/>
              <w:rPr>
                <w:rFonts w:ascii="楷体_GB2312" w:hAnsi="楷体" w:eastAsia="楷体_GB2312" w:cs="宋体"/>
                <w:sz w:val="24"/>
                <w:szCs w:val="24"/>
              </w:rPr>
            </w:pPr>
          </w:p>
        </w:tc>
        <w:tc>
          <w:tcPr>
            <w:tcW w:w="1355" w:type="dxa"/>
            <w:vAlign w:val="top"/>
          </w:tcPr>
          <w:p>
            <w:pPr>
              <w:spacing w:line="280" w:lineRule="exact"/>
              <w:rPr>
                <w:rFonts w:ascii="楷体" w:hAnsi="楷体" w:eastAsia="楷体" w:cs="宋体"/>
                <w:kern w:val="0"/>
                <w:sz w:val="24"/>
                <w:szCs w:val="24"/>
              </w:rPr>
            </w:pPr>
            <w:r>
              <w:rPr>
                <w:rFonts w:hint="eastAsia" w:ascii="楷体" w:hAnsi="楷体" w:eastAsia="楷体" w:cs="宋体"/>
                <w:kern w:val="0"/>
                <w:sz w:val="24"/>
                <w:szCs w:val="24"/>
              </w:rPr>
              <w:t>Q9.1.3</w:t>
            </w:r>
          </w:p>
          <w:p>
            <w:pPr>
              <w:spacing w:line="280" w:lineRule="exact"/>
              <w:rPr>
                <w:rFonts w:hint="eastAsia" w:ascii="楷体_GB2312" w:hAnsi="楷体" w:eastAsia="楷体_GB2312" w:cs="宋体"/>
                <w:kern w:val="0"/>
                <w:sz w:val="24"/>
                <w:szCs w:val="24"/>
                <w:lang w:val="en-US" w:eastAsia="zh-CN"/>
              </w:rPr>
            </w:pPr>
          </w:p>
        </w:tc>
        <w:tc>
          <w:tcPr>
            <w:tcW w:w="9956" w:type="dxa"/>
            <w:vAlign w:val="center"/>
          </w:tcPr>
          <w:p>
            <w:pPr>
              <w:spacing w:line="280" w:lineRule="exact"/>
              <w:ind w:firstLine="480" w:firstLineChars="200"/>
              <w:rPr>
                <w:rFonts w:hint="eastAsia" w:ascii="楷体" w:hAnsi="楷体" w:eastAsia="楷体" w:cs="Times New Roman"/>
                <w:color w:val="auto"/>
                <w:sz w:val="24"/>
                <w:szCs w:val="24"/>
                <w:lang w:val="en-US" w:eastAsia="zh-CN"/>
              </w:rPr>
            </w:pPr>
            <w:r>
              <w:rPr>
                <w:rFonts w:hint="eastAsia" w:ascii="楷体" w:hAnsi="楷体" w:eastAsia="楷体" w:cs="Times New Roman"/>
                <w:color w:val="auto"/>
                <w:sz w:val="24"/>
                <w:szCs w:val="24"/>
                <w:lang w:val="en-US" w:eastAsia="zh-CN"/>
              </w:rPr>
              <w:t>组织数据包括：产品销售状况、管理体系运行状况、顾客满意管理、供方管理等过程的数据分析。</w:t>
            </w:r>
          </w:p>
          <w:p>
            <w:pPr>
              <w:spacing w:line="280" w:lineRule="exact"/>
              <w:ind w:firstLine="480" w:firstLineChars="200"/>
              <w:rPr>
                <w:rFonts w:hint="eastAsia" w:ascii="楷体" w:hAnsi="楷体" w:eastAsia="楷体" w:cs="Times New Roman"/>
                <w:color w:val="auto"/>
                <w:sz w:val="24"/>
                <w:szCs w:val="24"/>
                <w:lang w:val="en-US" w:eastAsia="zh-CN"/>
              </w:rPr>
            </w:pPr>
            <w:r>
              <w:rPr>
                <w:rFonts w:hint="eastAsia" w:ascii="楷体" w:hAnsi="楷体" w:eastAsia="楷体" w:cs="Times New Roman"/>
                <w:color w:val="auto"/>
                <w:sz w:val="24"/>
                <w:szCs w:val="24"/>
                <w:lang w:val="en-US" w:eastAsia="zh-CN"/>
              </w:rPr>
              <w:t>查自组织管理体系运行以来，已经进行搜集信息和数据的活动：管理目标考核、顾客满意度调查、供方的交付和质量、环境、职业健康安全运行情况等的简单分析。</w:t>
            </w:r>
          </w:p>
          <w:p>
            <w:pPr>
              <w:spacing w:line="280" w:lineRule="exact"/>
              <w:ind w:firstLine="480" w:firstLineChars="200"/>
              <w:rPr>
                <w:rFonts w:hint="eastAsia" w:ascii="楷体" w:hAnsi="楷体" w:eastAsia="楷体" w:cs="Times New Roman"/>
                <w:color w:val="auto"/>
                <w:sz w:val="24"/>
                <w:szCs w:val="24"/>
                <w:lang w:val="en-US" w:eastAsia="zh-CN"/>
              </w:rPr>
            </w:pPr>
            <w:r>
              <w:rPr>
                <w:rFonts w:hint="eastAsia" w:ascii="楷体" w:hAnsi="楷体" w:eastAsia="楷体" w:cs="Times New Roman"/>
                <w:color w:val="auto"/>
                <w:sz w:val="24"/>
                <w:szCs w:val="24"/>
                <w:lang w:val="en-US" w:eastAsia="zh-CN"/>
              </w:rPr>
              <w:t>组织通过对管理目标的状态评价产品和服务的符合性良好；对顾客满意度的评价为达到目标要求；外部供方按时交付和质量经分析均满足要求，绩效良好。通过内审评审组织管理体系的策划已有效实施；通过管理评审评价组织应对风险和机遇所采取措施有效，管理体系有效、绩效良好，评价出管理体系改进的需求有进一步提高顾客满意度。</w:t>
            </w:r>
          </w:p>
          <w:p>
            <w:pPr>
              <w:spacing w:line="280" w:lineRule="exact"/>
              <w:ind w:firstLine="480" w:firstLineChars="200"/>
              <w:rPr>
                <w:rFonts w:hint="eastAsia" w:ascii="楷体_GB2312" w:hAnsi="楷体" w:eastAsia="楷体_GB2312"/>
                <w:sz w:val="24"/>
                <w:szCs w:val="24"/>
              </w:rPr>
            </w:pPr>
            <w:r>
              <w:rPr>
                <w:rFonts w:hint="eastAsia" w:ascii="楷体" w:hAnsi="楷体" w:eastAsia="楷体" w:cs="Times New Roman"/>
                <w:color w:val="auto"/>
                <w:sz w:val="24"/>
                <w:szCs w:val="24"/>
                <w:lang w:val="en-US" w:eastAsia="zh-CN"/>
              </w:rPr>
              <w:t>信息和数据分析、评价情况见各相关过程的审核记录。</w:t>
            </w:r>
          </w:p>
        </w:tc>
        <w:tc>
          <w:tcPr>
            <w:tcW w:w="1148" w:type="dxa"/>
          </w:tcPr>
          <w:p>
            <w:pPr>
              <w:rPr>
                <w:rFonts w:hint="eastAsia"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rPr>
              <w:t>内部审核</w:t>
            </w:r>
          </w:p>
          <w:p>
            <w:pPr>
              <w:spacing w:line="280" w:lineRule="exact"/>
              <w:rPr>
                <w:rFonts w:ascii="楷体_GB2312" w:hAnsi="楷体" w:eastAsia="楷体_GB2312" w:cs="宋体"/>
                <w:sz w:val="24"/>
                <w:szCs w:val="24"/>
              </w:rPr>
            </w:pPr>
          </w:p>
        </w:tc>
        <w:tc>
          <w:tcPr>
            <w:tcW w:w="1355" w:type="dxa"/>
          </w:tcPr>
          <w:p>
            <w:pPr>
              <w:spacing w:line="280" w:lineRule="exact"/>
              <w:rPr>
                <w:rFonts w:ascii="楷体_GB2312" w:hAnsi="楷体" w:eastAsia="楷体_GB2312" w:cs="宋体"/>
                <w:kern w:val="0"/>
                <w:sz w:val="24"/>
                <w:szCs w:val="24"/>
              </w:rPr>
            </w:pPr>
            <w:r>
              <w:rPr>
                <w:rFonts w:hint="eastAsia" w:ascii="楷体_GB2312" w:hAnsi="楷体" w:eastAsia="楷体_GB2312" w:cs="宋体"/>
                <w:kern w:val="0"/>
                <w:sz w:val="24"/>
                <w:szCs w:val="24"/>
                <w:lang w:val="en-US" w:eastAsia="zh-CN"/>
              </w:rPr>
              <w:t>Q</w:t>
            </w:r>
            <w:r>
              <w:rPr>
                <w:rFonts w:hint="eastAsia" w:ascii="楷体_GB2312" w:hAnsi="楷体" w:eastAsia="楷体_GB2312" w:cs="宋体"/>
                <w:kern w:val="0"/>
                <w:sz w:val="24"/>
                <w:szCs w:val="24"/>
              </w:rPr>
              <w:t>EO</w:t>
            </w:r>
            <w:r>
              <w:rPr>
                <w:rFonts w:ascii="楷体_GB2312" w:hAnsi="楷体" w:eastAsia="楷体_GB2312" w:cs="宋体"/>
                <w:kern w:val="0"/>
                <w:sz w:val="24"/>
                <w:szCs w:val="24"/>
              </w:rPr>
              <w:t>:</w:t>
            </w:r>
            <w:r>
              <w:rPr>
                <w:rFonts w:hint="eastAsia" w:ascii="楷体_GB2312" w:hAnsi="楷体" w:eastAsia="楷体_GB2312" w:cs="宋体"/>
                <w:kern w:val="0"/>
                <w:sz w:val="24"/>
                <w:szCs w:val="24"/>
              </w:rPr>
              <w:t>9.2</w:t>
            </w:r>
          </w:p>
        </w:tc>
        <w:tc>
          <w:tcPr>
            <w:tcW w:w="9956" w:type="dxa"/>
            <w:vAlign w:val="center"/>
          </w:tcPr>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公司根据制定的《内部审核控制程序》进行内部审核过程控制。提供了内审员授权书、内部审核计划、3个检查表、内部审核报告、不合格报告及整改证据、内部审核首末次会议签到等记录。抽查内容如下：</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审核组：辛红霞（组长）</w:t>
            </w:r>
            <w:r>
              <w:rPr>
                <w:rFonts w:ascii="楷体_GB2312" w:hAnsi="楷体" w:eastAsia="楷体_GB2312"/>
                <w:sz w:val="24"/>
                <w:szCs w:val="24"/>
              </w:rPr>
              <w:t xml:space="preserve">  </w:t>
            </w:r>
            <w:r>
              <w:rPr>
                <w:rFonts w:hint="eastAsia" w:ascii="楷体_GB2312" w:hAnsi="楷体" w:eastAsia="楷体_GB2312"/>
                <w:sz w:val="24"/>
                <w:szCs w:val="24"/>
              </w:rPr>
              <w:t>向禹</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会议签到表中显示，总经理、员工代表、综合部、销售部等参与了内部审核的首末次会议；</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查2021年</w:t>
            </w:r>
            <w:r>
              <w:rPr>
                <w:rFonts w:ascii="楷体_GB2312" w:hAnsi="楷体" w:eastAsia="楷体_GB2312"/>
                <w:sz w:val="24"/>
                <w:szCs w:val="24"/>
              </w:rPr>
              <w:t>8</w:t>
            </w:r>
            <w:r>
              <w:rPr>
                <w:rFonts w:hint="eastAsia" w:ascii="楷体_GB2312" w:hAnsi="楷体" w:eastAsia="楷体_GB2312"/>
                <w:sz w:val="24"/>
                <w:szCs w:val="24"/>
              </w:rPr>
              <w:t>月1</w:t>
            </w:r>
            <w:r>
              <w:rPr>
                <w:rFonts w:ascii="楷体_GB2312" w:hAnsi="楷体" w:eastAsia="楷体_GB2312"/>
                <w:sz w:val="24"/>
                <w:szCs w:val="24"/>
              </w:rPr>
              <w:t>0</w:t>
            </w:r>
            <w:r>
              <w:rPr>
                <w:rFonts w:hint="eastAsia" w:ascii="楷体_GB2312" w:hAnsi="楷体" w:eastAsia="楷体_GB2312"/>
                <w:sz w:val="24"/>
                <w:szCs w:val="24"/>
              </w:rPr>
              <w:t>日制定的《内部审核计划》，内容包括审核目的、审核范围、审核准则、审核方法、审核员组成、具体日程安排、编制批准等，内容完整，能够满足策划要求。</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提供《内审检查表》3个（管理层、综合部、销售部），内容包括条款号、检查内容、检查记录和结果判定等，记录显示，公司审核组按照内审计划要求进行，满足内审程序要求。</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查《内部审核报告》（2021年8月11日）中内部审核结论如下：通过审核发现这些体系文件编写基本符合要求，体现了“PDCA”循环，对组织的体系作了具体、明确、适当的规定，符合GB/T19001-2016 idt ISO9001:2015、GB/T24001-2016 idt ISO14001:2015、GB/T45001-2020/ISO45001:2018标准的要求，并且执行效果良好。内审发现</w:t>
            </w:r>
            <w:r>
              <w:rPr>
                <w:rFonts w:ascii="楷体_GB2312" w:hAnsi="楷体" w:eastAsia="楷体_GB2312"/>
                <w:sz w:val="24"/>
                <w:szCs w:val="24"/>
              </w:rPr>
              <w:t>1</w:t>
            </w:r>
            <w:r>
              <w:rPr>
                <w:rFonts w:hint="eastAsia" w:ascii="楷体_GB2312" w:hAnsi="楷体" w:eastAsia="楷体_GB2312"/>
                <w:sz w:val="24"/>
                <w:szCs w:val="24"/>
              </w:rPr>
              <w:t>个一般性不符合项。综合结论：这次内审是比较成功的审核，同时也发现我公司的质量/环境/安全管理体系运行基本是正常的、有效的，已具备（依据GB/T19001-2016、GB/T24001-2016 、GB/T45001-2020）申请第三方监督认证的条件。</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查《不符合报告》不符合事实“综合部未按照要求对外来文件清单中法律法规进行及时更新。”不符合条款依据正确，且均已完成整改并验证有效，与现场审核发现的情况吻合。</w:t>
            </w:r>
          </w:p>
          <w:p>
            <w:pPr>
              <w:spacing w:line="280" w:lineRule="exact"/>
              <w:ind w:firstLine="480" w:firstLineChars="200"/>
              <w:rPr>
                <w:rFonts w:ascii="楷体_GB2312" w:hAnsi="楷体" w:eastAsia="楷体_GB2312"/>
                <w:color w:val="FF0000"/>
                <w:sz w:val="24"/>
                <w:szCs w:val="24"/>
              </w:rPr>
            </w:pPr>
            <w:r>
              <w:rPr>
                <w:rFonts w:hint="eastAsia" w:ascii="楷体_GB2312" w:hAnsi="楷体" w:eastAsia="楷体_GB2312"/>
                <w:sz w:val="24"/>
                <w:szCs w:val="24"/>
              </w:rPr>
              <w:t>综上，公司的内部审核控制基本有效。</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2" w:type="dxa"/>
          </w:tcPr>
          <w:p>
            <w:pPr>
              <w:adjustRightInd w:val="0"/>
              <w:snapToGrid w:val="0"/>
              <w:spacing w:line="280" w:lineRule="exact"/>
              <w:rPr>
                <w:rFonts w:ascii="楷体_GB2312" w:hAnsi="楷体" w:eastAsia="楷体_GB2312"/>
                <w:spacing w:val="-12"/>
                <w:sz w:val="24"/>
                <w:szCs w:val="24"/>
              </w:rPr>
            </w:pPr>
            <w:r>
              <w:rPr>
                <w:rFonts w:hint="eastAsia" w:ascii="楷体_GB2312" w:hAnsi="楷体" w:eastAsia="楷体_GB2312"/>
                <w:spacing w:val="-12"/>
                <w:sz w:val="24"/>
                <w:szCs w:val="24"/>
              </w:rPr>
              <w:t>不合格和纠正措施</w:t>
            </w:r>
          </w:p>
          <w:p>
            <w:pPr>
              <w:spacing w:line="280" w:lineRule="exact"/>
              <w:rPr>
                <w:rFonts w:ascii="楷体_GB2312" w:hAnsi="楷体" w:eastAsia="楷体_GB2312" w:cs="宋体"/>
                <w:sz w:val="24"/>
                <w:szCs w:val="24"/>
              </w:rPr>
            </w:pPr>
          </w:p>
        </w:tc>
        <w:tc>
          <w:tcPr>
            <w:tcW w:w="1355" w:type="dxa"/>
          </w:tcPr>
          <w:p>
            <w:pPr>
              <w:spacing w:line="280" w:lineRule="exact"/>
              <w:rPr>
                <w:rFonts w:ascii="楷体_GB2312" w:hAnsi="楷体" w:eastAsia="楷体_GB2312" w:cs="宋体"/>
                <w:sz w:val="24"/>
                <w:szCs w:val="24"/>
              </w:rPr>
            </w:pPr>
            <w:r>
              <w:rPr>
                <w:rFonts w:hint="eastAsia" w:ascii="楷体_GB2312" w:hAnsi="楷体" w:eastAsia="楷体_GB2312" w:cs="宋体"/>
                <w:sz w:val="24"/>
                <w:szCs w:val="24"/>
                <w:lang w:val="en-US" w:eastAsia="zh-CN"/>
              </w:rPr>
              <w:t>Q</w:t>
            </w:r>
            <w:r>
              <w:rPr>
                <w:rFonts w:hint="eastAsia" w:ascii="楷体_GB2312" w:hAnsi="楷体" w:eastAsia="楷体_GB2312" w:cs="宋体"/>
                <w:sz w:val="24"/>
                <w:szCs w:val="24"/>
              </w:rPr>
              <w:t>EO:10.2</w:t>
            </w:r>
          </w:p>
          <w:p>
            <w:pPr>
              <w:spacing w:line="280" w:lineRule="exact"/>
              <w:rPr>
                <w:rFonts w:ascii="楷体_GB2312" w:hAnsi="楷体" w:eastAsia="楷体_GB2312" w:cs="宋体"/>
                <w:sz w:val="24"/>
                <w:szCs w:val="24"/>
              </w:rPr>
            </w:pPr>
          </w:p>
          <w:p>
            <w:pPr>
              <w:spacing w:line="280" w:lineRule="exact"/>
              <w:rPr>
                <w:rFonts w:ascii="楷体_GB2312" w:hAnsi="楷体" w:eastAsia="楷体_GB2312" w:cs="宋体"/>
                <w:sz w:val="24"/>
                <w:szCs w:val="24"/>
              </w:rPr>
            </w:pPr>
          </w:p>
        </w:tc>
        <w:tc>
          <w:tcPr>
            <w:tcW w:w="9956" w:type="dxa"/>
            <w:vAlign w:val="center"/>
          </w:tcPr>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综合部负责人刘森介绍：组织在运行过程中对发现的不合格都会采取纠正措施，分析原因，举一反三地看待其他部门或类似过程，采取预防措施以防止发生不合格或不符合。</w:t>
            </w:r>
          </w:p>
          <w:p>
            <w:pPr>
              <w:spacing w:line="280" w:lineRule="exact"/>
              <w:ind w:firstLine="480" w:firstLineChars="200"/>
              <w:rPr>
                <w:rFonts w:ascii="楷体_GB2312" w:hAnsi="楷体" w:eastAsia="楷体_GB2312"/>
                <w:sz w:val="24"/>
                <w:szCs w:val="24"/>
              </w:rPr>
            </w:pPr>
            <w:r>
              <w:rPr>
                <w:rFonts w:hint="eastAsia" w:ascii="楷体_GB2312" w:hAnsi="楷体" w:eastAsia="楷体_GB2312"/>
                <w:sz w:val="24"/>
                <w:szCs w:val="24"/>
              </w:rPr>
              <w:t>组织内审时发现的1个不符合项进行的原因分析、纠正措施和验证均能满足改进要求。</w:t>
            </w:r>
          </w:p>
          <w:p>
            <w:pPr>
              <w:spacing w:line="280" w:lineRule="exact"/>
              <w:ind w:firstLine="480" w:firstLineChars="200"/>
              <w:rPr>
                <w:rFonts w:ascii="楷体_GB2312" w:hAnsi="楷体" w:eastAsia="楷体_GB2312" w:cs="宋体"/>
                <w:sz w:val="24"/>
                <w:szCs w:val="24"/>
              </w:rPr>
            </w:pPr>
            <w:r>
              <w:rPr>
                <w:rFonts w:hint="eastAsia" w:ascii="楷体_GB2312" w:hAnsi="楷体" w:eastAsia="楷体_GB2312"/>
                <w:sz w:val="24"/>
                <w:szCs w:val="24"/>
              </w:rPr>
              <w:t>抽查不符合项的《实施纠正措施记录》，原因分析为：综合部人员对GB/T 19001-2016标准7.5.3条款理解不够，工作出现疏忽，没有严格根据要求实施。措施有两项：1）对综合部的相关人员GB/T19001-2015标准7.5.3条款进行培训，防止以后类似情况的再次发生。2）对外来文件清单中法律法规进行更新登记。措施针对问题原因吻合，并对措施的实施进行了验证。</w:t>
            </w:r>
          </w:p>
        </w:tc>
        <w:tc>
          <w:tcPr>
            <w:tcW w:w="1148" w:type="dxa"/>
          </w:tcPr>
          <w:p>
            <w:pPr>
              <w:rPr>
                <w:rFonts w:ascii="楷体_GB2312" w:hAnsi="楷体" w:eastAsia="楷体_GB2312"/>
                <w:color w:val="FF0000"/>
                <w:sz w:val="24"/>
                <w:szCs w:val="24"/>
              </w:rPr>
            </w:pPr>
            <w:r>
              <w:rPr>
                <w:rFonts w:hint="eastAsia" w:ascii="楷体_GB2312" w:hAnsi="楷体" w:eastAsia="楷体_GB2312"/>
                <w:color w:val="FF0000"/>
                <w:sz w:val="24"/>
                <w:szCs w:val="24"/>
              </w:rPr>
              <w:t>符合</w:t>
            </w:r>
          </w:p>
        </w:tc>
      </w:tr>
    </w:tbl>
    <w:p>
      <w:pPr>
        <w:pStyle w:val="7"/>
        <w:snapToGrid/>
        <w:spacing w:line="480" w:lineRule="auto"/>
        <w:ind w:firstLine="480" w:firstLineChars="200"/>
        <w:rPr>
          <w:rFonts w:hint="eastAsia" w:ascii="楷体" w:hAnsi="楷体" w:eastAsia="楷体"/>
          <w:sz w:val="24"/>
          <w:szCs w:val="24"/>
        </w:rPr>
      </w:pPr>
      <w:r>
        <w:rPr>
          <w:rFonts w:hint="eastAsia" w:ascii="楷体" w:hAnsi="楷体" w:eastAsia="楷体"/>
          <w:sz w:val="24"/>
          <w:szCs w:val="24"/>
        </w:rPr>
        <w:t>说明：不符合标注N。</w:t>
      </w:r>
    </w:p>
    <w:sectPr>
      <w:headerReference r:id="rId3" w:type="default"/>
      <w:footerReference r:id="rId4" w:type="default"/>
      <w:pgSz w:w="16838" w:h="11906" w:orient="landscape"/>
      <w:pgMar w:top="1440" w:right="1077" w:bottom="1440"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p>
  <w:p>
    <w:pPr>
      <w:pStyle w:val="8"/>
      <w:pBdr>
        <w:bottom w:val="none" w:color="auto" w:sz="0" w:space="1"/>
      </w:pBdr>
      <w:spacing w:line="320" w:lineRule="exact"/>
      <w:jc w:val="left"/>
    </w:pPr>
    <w:r>
      <w:pict>
        <v:shape id="_x0000_s3073" o:spid="_x0000_s3073"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 管理体系审核记录表(03版)</w:t>
                </w:r>
              </w:p>
            </w:txbxContent>
          </v:textbox>
        </v:shape>
      </w:pict>
    </w:r>
    <w:r>
      <w:rPr>
        <w:rStyle w:val="16"/>
        <w:rFonts w:hint="default"/>
        <w:w w:val="90"/>
      </w:rPr>
      <w:t>Beijing International Standard United Certification Co.,Ltd.</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172A27"/>
    <w:rsid w:val="000038DC"/>
    <w:rsid w:val="00004817"/>
    <w:rsid w:val="000128DD"/>
    <w:rsid w:val="000146B2"/>
    <w:rsid w:val="00014A12"/>
    <w:rsid w:val="00015A33"/>
    <w:rsid w:val="000214B6"/>
    <w:rsid w:val="00022273"/>
    <w:rsid w:val="00024789"/>
    <w:rsid w:val="0002531E"/>
    <w:rsid w:val="000277D0"/>
    <w:rsid w:val="0003138C"/>
    <w:rsid w:val="00032100"/>
    <w:rsid w:val="0003373A"/>
    <w:rsid w:val="00035FB9"/>
    <w:rsid w:val="000412F6"/>
    <w:rsid w:val="0004498A"/>
    <w:rsid w:val="00045092"/>
    <w:rsid w:val="00046704"/>
    <w:rsid w:val="0005199E"/>
    <w:rsid w:val="00052580"/>
    <w:rsid w:val="0005697E"/>
    <w:rsid w:val="000579CF"/>
    <w:rsid w:val="00057F65"/>
    <w:rsid w:val="00060270"/>
    <w:rsid w:val="0006102E"/>
    <w:rsid w:val="00061EE8"/>
    <w:rsid w:val="00061F6E"/>
    <w:rsid w:val="000636A7"/>
    <w:rsid w:val="00070472"/>
    <w:rsid w:val="000814C3"/>
    <w:rsid w:val="00082216"/>
    <w:rsid w:val="00082398"/>
    <w:rsid w:val="00083343"/>
    <w:rsid w:val="000849D2"/>
    <w:rsid w:val="00084DAD"/>
    <w:rsid w:val="000870FB"/>
    <w:rsid w:val="00087D35"/>
    <w:rsid w:val="00092F91"/>
    <w:rsid w:val="00094791"/>
    <w:rsid w:val="000961A3"/>
    <w:rsid w:val="000A067A"/>
    <w:rsid w:val="000A30F9"/>
    <w:rsid w:val="000A5E44"/>
    <w:rsid w:val="000A6B86"/>
    <w:rsid w:val="000B1394"/>
    <w:rsid w:val="000B40BD"/>
    <w:rsid w:val="000B590A"/>
    <w:rsid w:val="000B6C8F"/>
    <w:rsid w:val="000B6EAD"/>
    <w:rsid w:val="000C123B"/>
    <w:rsid w:val="000C25C3"/>
    <w:rsid w:val="000C2D5B"/>
    <w:rsid w:val="000D0B07"/>
    <w:rsid w:val="000D3B47"/>
    <w:rsid w:val="000D4F09"/>
    <w:rsid w:val="000D5401"/>
    <w:rsid w:val="000D697A"/>
    <w:rsid w:val="000E2B69"/>
    <w:rsid w:val="000E355F"/>
    <w:rsid w:val="000E4402"/>
    <w:rsid w:val="000E7EF7"/>
    <w:rsid w:val="000F35F1"/>
    <w:rsid w:val="000F38E4"/>
    <w:rsid w:val="000F7D53"/>
    <w:rsid w:val="001022F1"/>
    <w:rsid w:val="001037D5"/>
    <w:rsid w:val="00106F20"/>
    <w:rsid w:val="001076D1"/>
    <w:rsid w:val="00123A35"/>
    <w:rsid w:val="00123EF1"/>
    <w:rsid w:val="00124A78"/>
    <w:rsid w:val="00132572"/>
    <w:rsid w:val="001350FB"/>
    <w:rsid w:val="00135F92"/>
    <w:rsid w:val="00145688"/>
    <w:rsid w:val="001456CB"/>
    <w:rsid w:val="001462CD"/>
    <w:rsid w:val="00147EDB"/>
    <w:rsid w:val="001564F9"/>
    <w:rsid w:val="001662A1"/>
    <w:rsid w:val="001677C1"/>
    <w:rsid w:val="00170B6A"/>
    <w:rsid w:val="0017204F"/>
    <w:rsid w:val="00172A27"/>
    <w:rsid w:val="00176572"/>
    <w:rsid w:val="00176B5D"/>
    <w:rsid w:val="00181F3C"/>
    <w:rsid w:val="001833DD"/>
    <w:rsid w:val="00183631"/>
    <w:rsid w:val="00187C5A"/>
    <w:rsid w:val="001918ED"/>
    <w:rsid w:val="00192A7F"/>
    <w:rsid w:val="001940FC"/>
    <w:rsid w:val="00194D96"/>
    <w:rsid w:val="001972C0"/>
    <w:rsid w:val="0019757E"/>
    <w:rsid w:val="001A2D7F"/>
    <w:rsid w:val="001A3DF8"/>
    <w:rsid w:val="001A572D"/>
    <w:rsid w:val="001B324E"/>
    <w:rsid w:val="001B36F4"/>
    <w:rsid w:val="001B6887"/>
    <w:rsid w:val="001B6E5E"/>
    <w:rsid w:val="001B700E"/>
    <w:rsid w:val="001C0776"/>
    <w:rsid w:val="001C2BC9"/>
    <w:rsid w:val="001C34EA"/>
    <w:rsid w:val="001C39CB"/>
    <w:rsid w:val="001C6B2A"/>
    <w:rsid w:val="001C71C5"/>
    <w:rsid w:val="001D1D7C"/>
    <w:rsid w:val="001D4AD8"/>
    <w:rsid w:val="001D54FF"/>
    <w:rsid w:val="001D5787"/>
    <w:rsid w:val="001E1974"/>
    <w:rsid w:val="001E312D"/>
    <w:rsid w:val="001E4984"/>
    <w:rsid w:val="001E72C1"/>
    <w:rsid w:val="001F61B7"/>
    <w:rsid w:val="001F71E8"/>
    <w:rsid w:val="00202BC2"/>
    <w:rsid w:val="00214113"/>
    <w:rsid w:val="00215081"/>
    <w:rsid w:val="00215648"/>
    <w:rsid w:val="00222532"/>
    <w:rsid w:val="002246AC"/>
    <w:rsid w:val="00235558"/>
    <w:rsid w:val="00235ED5"/>
    <w:rsid w:val="00237445"/>
    <w:rsid w:val="00245047"/>
    <w:rsid w:val="00245CB6"/>
    <w:rsid w:val="00253CBF"/>
    <w:rsid w:val="00262DC0"/>
    <w:rsid w:val="002651A6"/>
    <w:rsid w:val="002715B5"/>
    <w:rsid w:val="002760CB"/>
    <w:rsid w:val="0027659A"/>
    <w:rsid w:val="002769EB"/>
    <w:rsid w:val="0028195E"/>
    <w:rsid w:val="00282AB8"/>
    <w:rsid w:val="0029464B"/>
    <w:rsid w:val="002973F0"/>
    <w:rsid w:val="002975C1"/>
    <w:rsid w:val="002A0E6E"/>
    <w:rsid w:val="002A3262"/>
    <w:rsid w:val="002A33CC"/>
    <w:rsid w:val="002A4A4F"/>
    <w:rsid w:val="002A62D8"/>
    <w:rsid w:val="002B1808"/>
    <w:rsid w:val="002B1E8C"/>
    <w:rsid w:val="002B4DE5"/>
    <w:rsid w:val="002C1ACE"/>
    <w:rsid w:val="002C3E0D"/>
    <w:rsid w:val="002C60B0"/>
    <w:rsid w:val="002D41FB"/>
    <w:rsid w:val="002D5FAE"/>
    <w:rsid w:val="002E0587"/>
    <w:rsid w:val="002E1E1D"/>
    <w:rsid w:val="002E72F8"/>
    <w:rsid w:val="002E7AD0"/>
    <w:rsid w:val="002F030C"/>
    <w:rsid w:val="002F1DCE"/>
    <w:rsid w:val="003006E2"/>
    <w:rsid w:val="0030397F"/>
    <w:rsid w:val="00305A9E"/>
    <w:rsid w:val="003120F5"/>
    <w:rsid w:val="00315289"/>
    <w:rsid w:val="00317401"/>
    <w:rsid w:val="00317FAF"/>
    <w:rsid w:val="0032112D"/>
    <w:rsid w:val="00323CE9"/>
    <w:rsid w:val="00326FC1"/>
    <w:rsid w:val="00330DBC"/>
    <w:rsid w:val="00337922"/>
    <w:rsid w:val="00340867"/>
    <w:rsid w:val="00342857"/>
    <w:rsid w:val="00350CBB"/>
    <w:rsid w:val="00351CD4"/>
    <w:rsid w:val="003551F7"/>
    <w:rsid w:val="003608CB"/>
    <w:rsid w:val="00360D60"/>
    <w:rsid w:val="003627B6"/>
    <w:rsid w:val="00364105"/>
    <w:rsid w:val="003674B6"/>
    <w:rsid w:val="003675FE"/>
    <w:rsid w:val="003708D5"/>
    <w:rsid w:val="0037587D"/>
    <w:rsid w:val="00380530"/>
    <w:rsid w:val="0038061A"/>
    <w:rsid w:val="0038063B"/>
    <w:rsid w:val="00380837"/>
    <w:rsid w:val="00382EDD"/>
    <w:rsid w:val="003836CA"/>
    <w:rsid w:val="00386A98"/>
    <w:rsid w:val="00392D5A"/>
    <w:rsid w:val="003947A2"/>
    <w:rsid w:val="00397BA8"/>
    <w:rsid w:val="003A02F4"/>
    <w:rsid w:val="003A0A03"/>
    <w:rsid w:val="003A1E9C"/>
    <w:rsid w:val="003A57BB"/>
    <w:rsid w:val="003A62C3"/>
    <w:rsid w:val="003B0E41"/>
    <w:rsid w:val="003B2D0E"/>
    <w:rsid w:val="003B52B6"/>
    <w:rsid w:val="003B63F4"/>
    <w:rsid w:val="003B686D"/>
    <w:rsid w:val="003B6EB8"/>
    <w:rsid w:val="003C05B2"/>
    <w:rsid w:val="003D1723"/>
    <w:rsid w:val="003D470D"/>
    <w:rsid w:val="003D6BE3"/>
    <w:rsid w:val="003E0E52"/>
    <w:rsid w:val="003E2C93"/>
    <w:rsid w:val="003F20A5"/>
    <w:rsid w:val="003F6D4B"/>
    <w:rsid w:val="00400B96"/>
    <w:rsid w:val="00401C89"/>
    <w:rsid w:val="00402BA3"/>
    <w:rsid w:val="00405AA6"/>
    <w:rsid w:val="00405D57"/>
    <w:rsid w:val="00405D5F"/>
    <w:rsid w:val="00410914"/>
    <w:rsid w:val="00415AA3"/>
    <w:rsid w:val="00420650"/>
    <w:rsid w:val="00420C60"/>
    <w:rsid w:val="00424601"/>
    <w:rsid w:val="004254A5"/>
    <w:rsid w:val="00425914"/>
    <w:rsid w:val="0043032D"/>
    <w:rsid w:val="00430432"/>
    <w:rsid w:val="00433759"/>
    <w:rsid w:val="0043494E"/>
    <w:rsid w:val="00435641"/>
    <w:rsid w:val="00440BBC"/>
    <w:rsid w:val="004414A5"/>
    <w:rsid w:val="00441B50"/>
    <w:rsid w:val="004428CE"/>
    <w:rsid w:val="00456697"/>
    <w:rsid w:val="00456909"/>
    <w:rsid w:val="00461CE2"/>
    <w:rsid w:val="00463AD4"/>
    <w:rsid w:val="00463F22"/>
    <w:rsid w:val="00465FE1"/>
    <w:rsid w:val="0047124A"/>
    <w:rsid w:val="00475491"/>
    <w:rsid w:val="00484B84"/>
    <w:rsid w:val="004869FB"/>
    <w:rsid w:val="00491735"/>
    <w:rsid w:val="00494A46"/>
    <w:rsid w:val="004A1070"/>
    <w:rsid w:val="004A3578"/>
    <w:rsid w:val="004A4AE9"/>
    <w:rsid w:val="004A4AF8"/>
    <w:rsid w:val="004A7106"/>
    <w:rsid w:val="004B217F"/>
    <w:rsid w:val="004B3E7F"/>
    <w:rsid w:val="004C07FE"/>
    <w:rsid w:val="004C3A73"/>
    <w:rsid w:val="004C5731"/>
    <w:rsid w:val="004C5BFE"/>
    <w:rsid w:val="004C78A9"/>
    <w:rsid w:val="004D3E4C"/>
    <w:rsid w:val="004D55E7"/>
    <w:rsid w:val="004D62EF"/>
    <w:rsid w:val="004D631F"/>
    <w:rsid w:val="004E5609"/>
    <w:rsid w:val="004E61BC"/>
    <w:rsid w:val="004F185D"/>
    <w:rsid w:val="004F3000"/>
    <w:rsid w:val="005052B3"/>
    <w:rsid w:val="005056ED"/>
    <w:rsid w:val="00505819"/>
    <w:rsid w:val="005064D2"/>
    <w:rsid w:val="005117F4"/>
    <w:rsid w:val="00513B4A"/>
    <w:rsid w:val="00515C94"/>
    <w:rsid w:val="00517E4C"/>
    <w:rsid w:val="00521BB1"/>
    <w:rsid w:val="00521CF0"/>
    <w:rsid w:val="00527341"/>
    <w:rsid w:val="00531857"/>
    <w:rsid w:val="0053208B"/>
    <w:rsid w:val="0053278B"/>
    <w:rsid w:val="00533351"/>
    <w:rsid w:val="005345E9"/>
    <w:rsid w:val="00534814"/>
    <w:rsid w:val="00536930"/>
    <w:rsid w:val="0054090E"/>
    <w:rsid w:val="00541AE2"/>
    <w:rsid w:val="00544CA6"/>
    <w:rsid w:val="00546B18"/>
    <w:rsid w:val="00546D5F"/>
    <w:rsid w:val="00552BDE"/>
    <w:rsid w:val="005571F6"/>
    <w:rsid w:val="00560A2A"/>
    <w:rsid w:val="00564E53"/>
    <w:rsid w:val="00570F91"/>
    <w:rsid w:val="00571FB2"/>
    <w:rsid w:val="005726B7"/>
    <w:rsid w:val="00576C70"/>
    <w:rsid w:val="00583277"/>
    <w:rsid w:val="00592922"/>
    <w:rsid w:val="00592C3E"/>
    <w:rsid w:val="00597617"/>
    <w:rsid w:val="005A000F"/>
    <w:rsid w:val="005B173D"/>
    <w:rsid w:val="005B660F"/>
    <w:rsid w:val="005B6888"/>
    <w:rsid w:val="005D1D88"/>
    <w:rsid w:val="005E1938"/>
    <w:rsid w:val="005F312F"/>
    <w:rsid w:val="005F4B58"/>
    <w:rsid w:val="005F522D"/>
    <w:rsid w:val="005F6C65"/>
    <w:rsid w:val="00600F02"/>
    <w:rsid w:val="006011CF"/>
    <w:rsid w:val="00601460"/>
    <w:rsid w:val="006014D4"/>
    <w:rsid w:val="0060444D"/>
    <w:rsid w:val="00605380"/>
    <w:rsid w:val="00605910"/>
    <w:rsid w:val="006072BE"/>
    <w:rsid w:val="0061191A"/>
    <w:rsid w:val="006155A7"/>
    <w:rsid w:val="00623037"/>
    <w:rsid w:val="00624222"/>
    <w:rsid w:val="006318A1"/>
    <w:rsid w:val="00632DE1"/>
    <w:rsid w:val="00642776"/>
    <w:rsid w:val="00642D31"/>
    <w:rsid w:val="00644FE2"/>
    <w:rsid w:val="00645E5C"/>
    <w:rsid w:val="00645FB8"/>
    <w:rsid w:val="00651986"/>
    <w:rsid w:val="00652F53"/>
    <w:rsid w:val="00653DC7"/>
    <w:rsid w:val="006545E8"/>
    <w:rsid w:val="00660E81"/>
    <w:rsid w:val="00664736"/>
    <w:rsid w:val="00665980"/>
    <w:rsid w:val="006711B0"/>
    <w:rsid w:val="0067640C"/>
    <w:rsid w:val="00676B7A"/>
    <w:rsid w:val="00682F4E"/>
    <w:rsid w:val="006836D9"/>
    <w:rsid w:val="0068548D"/>
    <w:rsid w:val="00691265"/>
    <w:rsid w:val="0069466F"/>
    <w:rsid w:val="006946B4"/>
    <w:rsid w:val="00694F41"/>
    <w:rsid w:val="00695256"/>
    <w:rsid w:val="00695570"/>
    <w:rsid w:val="006958B3"/>
    <w:rsid w:val="006969F1"/>
    <w:rsid w:val="00696AF1"/>
    <w:rsid w:val="006A3B31"/>
    <w:rsid w:val="006A68F3"/>
    <w:rsid w:val="006B0113"/>
    <w:rsid w:val="006B2634"/>
    <w:rsid w:val="006B2C63"/>
    <w:rsid w:val="006B39AA"/>
    <w:rsid w:val="006B4127"/>
    <w:rsid w:val="006B4F28"/>
    <w:rsid w:val="006C24BF"/>
    <w:rsid w:val="006C40B9"/>
    <w:rsid w:val="006D4DF7"/>
    <w:rsid w:val="006E255D"/>
    <w:rsid w:val="006E4893"/>
    <w:rsid w:val="006E678B"/>
    <w:rsid w:val="006E762B"/>
    <w:rsid w:val="006F3F2A"/>
    <w:rsid w:val="0070367F"/>
    <w:rsid w:val="00705251"/>
    <w:rsid w:val="007100D8"/>
    <w:rsid w:val="00710655"/>
    <w:rsid w:val="00710688"/>
    <w:rsid w:val="00712F3C"/>
    <w:rsid w:val="007170AA"/>
    <w:rsid w:val="007175F5"/>
    <w:rsid w:val="007205B1"/>
    <w:rsid w:val="0072638A"/>
    <w:rsid w:val="00726642"/>
    <w:rsid w:val="00732B66"/>
    <w:rsid w:val="007378E4"/>
    <w:rsid w:val="00737C8F"/>
    <w:rsid w:val="007406DE"/>
    <w:rsid w:val="00740E7F"/>
    <w:rsid w:val="00743E79"/>
    <w:rsid w:val="00744BEA"/>
    <w:rsid w:val="00751532"/>
    <w:rsid w:val="00751C37"/>
    <w:rsid w:val="007520DE"/>
    <w:rsid w:val="00754C46"/>
    <w:rsid w:val="0075769B"/>
    <w:rsid w:val="007618BC"/>
    <w:rsid w:val="00765D3B"/>
    <w:rsid w:val="00772340"/>
    <w:rsid w:val="007737BA"/>
    <w:rsid w:val="007757F3"/>
    <w:rsid w:val="007815DC"/>
    <w:rsid w:val="007839F5"/>
    <w:rsid w:val="00787C80"/>
    <w:rsid w:val="00790D5E"/>
    <w:rsid w:val="00790FC6"/>
    <w:rsid w:val="00795FA6"/>
    <w:rsid w:val="007A47FB"/>
    <w:rsid w:val="007A6E97"/>
    <w:rsid w:val="007B106B"/>
    <w:rsid w:val="007B275D"/>
    <w:rsid w:val="007B35C5"/>
    <w:rsid w:val="007B668F"/>
    <w:rsid w:val="007C7773"/>
    <w:rsid w:val="007E6AEB"/>
    <w:rsid w:val="007E6B6E"/>
    <w:rsid w:val="007E7C11"/>
    <w:rsid w:val="007F01EC"/>
    <w:rsid w:val="007F05DB"/>
    <w:rsid w:val="007F2D92"/>
    <w:rsid w:val="007F6A62"/>
    <w:rsid w:val="007F7DF2"/>
    <w:rsid w:val="008015B9"/>
    <w:rsid w:val="00803706"/>
    <w:rsid w:val="0080433F"/>
    <w:rsid w:val="00807039"/>
    <w:rsid w:val="008079FA"/>
    <w:rsid w:val="00810D58"/>
    <w:rsid w:val="00815AF5"/>
    <w:rsid w:val="008160E3"/>
    <w:rsid w:val="00816E5B"/>
    <w:rsid w:val="00832DE1"/>
    <w:rsid w:val="008343CB"/>
    <w:rsid w:val="00834F70"/>
    <w:rsid w:val="00835B31"/>
    <w:rsid w:val="00842F02"/>
    <w:rsid w:val="00850591"/>
    <w:rsid w:val="00851DF3"/>
    <w:rsid w:val="0085681C"/>
    <w:rsid w:val="008575F9"/>
    <w:rsid w:val="00857F10"/>
    <w:rsid w:val="008638DE"/>
    <w:rsid w:val="00863B20"/>
    <w:rsid w:val="008646DE"/>
    <w:rsid w:val="00864902"/>
    <w:rsid w:val="00864BE7"/>
    <w:rsid w:val="00865200"/>
    <w:rsid w:val="00871695"/>
    <w:rsid w:val="00884594"/>
    <w:rsid w:val="00885631"/>
    <w:rsid w:val="00886006"/>
    <w:rsid w:val="00890397"/>
    <w:rsid w:val="00891C25"/>
    <w:rsid w:val="00894200"/>
    <w:rsid w:val="008973EE"/>
    <w:rsid w:val="008A5C1F"/>
    <w:rsid w:val="008A7C7E"/>
    <w:rsid w:val="008B21BA"/>
    <w:rsid w:val="008B3F66"/>
    <w:rsid w:val="008B4EE2"/>
    <w:rsid w:val="008B5C49"/>
    <w:rsid w:val="008B7644"/>
    <w:rsid w:val="008C199E"/>
    <w:rsid w:val="008C1CA5"/>
    <w:rsid w:val="008C40EE"/>
    <w:rsid w:val="008D089D"/>
    <w:rsid w:val="008D50E6"/>
    <w:rsid w:val="008E0E14"/>
    <w:rsid w:val="008E792C"/>
    <w:rsid w:val="008F0B04"/>
    <w:rsid w:val="008F6788"/>
    <w:rsid w:val="008F7C55"/>
    <w:rsid w:val="00900D9B"/>
    <w:rsid w:val="00901BAF"/>
    <w:rsid w:val="009023B8"/>
    <w:rsid w:val="0091272B"/>
    <w:rsid w:val="00915512"/>
    <w:rsid w:val="00916265"/>
    <w:rsid w:val="00921E46"/>
    <w:rsid w:val="00930694"/>
    <w:rsid w:val="00932193"/>
    <w:rsid w:val="00932BE6"/>
    <w:rsid w:val="0093521F"/>
    <w:rsid w:val="009353C6"/>
    <w:rsid w:val="0093786C"/>
    <w:rsid w:val="00940352"/>
    <w:rsid w:val="00945677"/>
    <w:rsid w:val="0095571F"/>
    <w:rsid w:val="00955B84"/>
    <w:rsid w:val="0095689B"/>
    <w:rsid w:val="009619EF"/>
    <w:rsid w:val="00962F78"/>
    <w:rsid w:val="00964CF5"/>
    <w:rsid w:val="00965A0E"/>
    <w:rsid w:val="0096609F"/>
    <w:rsid w:val="00967EF7"/>
    <w:rsid w:val="00970DA2"/>
    <w:rsid w:val="00971600"/>
    <w:rsid w:val="00972B2C"/>
    <w:rsid w:val="009769AA"/>
    <w:rsid w:val="00984342"/>
    <w:rsid w:val="0099301F"/>
    <w:rsid w:val="009969D2"/>
    <w:rsid w:val="009973B4"/>
    <w:rsid w:val="009A1279"/>
    <w:rsid w:val="009A4B5C"/>
    <w:rsid w:val="009A4FC4"/>
    <w:rsid w:val="009B0EBA"/>
    <w:rsid w:val="009B17BA"/>
    <w:rsid w:val="009B3649"/>
    <w:rsid w:val="009B4D68"/>
    <w:rsid w:val="009B6AB3"/>
    <w:rsid w:val="009B76EA"/>
    <w:rsid w:val="009B7EB8"/>
    <w:rsid w:val="009C131F"/>
    <w:rsid w:val="009C21A8"/>
    <w:rsid w:val="009C2CA5"/>
    <w:rsid w:val="009D1075"/>
    <w:rsid w:val="009D1A3F"/>
    <w:rsid w:val="009D2F66"/>
    <w:rsid w:val="009D3296"/>
    <w:rsid w:val="009D57CF"/>
    <w:rsid w:val="009D6FFB"/>
    <w:rsid w:val="009D756F"/>
    <w:rsid w:val="009D7E70"/>
    <w:rsid w:val="009E0AE4"/>
    <w:rsid w:val="009E2238"/>
    <w:rsid w:val="009E30DA"/>
    <w:rsid w:val="009E3D68"/>
    <w:rsid w:val="009E461A"/>
    <w:rsid w:val="009E6193"/>
    <w:rsid w:val="009E7DD1"/>
    <w:rsid w:val="009F1EC6"/>
    <w:rsid w:val="009F7BFC"/>
    <w:rsid w:val="009F7EED"/>
    <w:rsid w:val="00A0091F"/>
    <w:rsid w:val="00A0615F"/>
    <w:rsid w:val="00A06235"/>
    <w:rsid w:val="00A0721A"/>
    <w:rsid w:val="00A138EC"/>
    <w:rsid w:val="00A13A49"/>
    <w:rsid w:val="00A211B3"/>
    <w:rsid w:val="00A23822"/>
    <w:rsid w:val="00A327DF"/>
    <w:rsid w:val="00A3538B"/>
    <w:rsid w:val="00A378F6"/>
    <w:rsid w:val="00A41F32"/>
    <w:rsid w:val="00A4482F"/>
    <w:rsid w:val="00A46940"/>
    <w:rsid w:val="00A50B4B"/>
    <w:rsid w:val="00A52368"/>
    <w:rsid w:val="00A54B81"/>
    <w:rsid w:val="00A61009"/>
    <w:rsid w:val="00A648EC"/>
    <w:rsid w:val="00A7519D"/>
    <w:rsid w:val="00A801DE"/>
    <w:rsid w:val="00A811EC"/>
    <w:rsid w:val="00A81FD7"/>
    <w:rsid w:val="00A824AF"/>
    <w:rsid w:val="00A90A22"/>
    <w:rsid w:val="00A95447"/>
    <w:rsid w:val="00A969B9"/>
    <w:rsid w:val="00A97734"/>
    <w:rsid w:val="00AA1858"/>
    <w:rsid w:val="00AA48D9"/>
    <w:rsid w:val="00AA7F40"/>
    <w:rsid w:val="00AB41FC"/>
    <w:rsid w:val="00AB4BF4"/>
    <w:rsid w:val="00AB7D2F"/>
    <w:rsid w:val="00AC24B1"/>
    <w:rsid w:val="00AC260E"/>
    <w:rsid w:val="00AD145D"/>
    <w:rsid w:val="00AD20E6"/>
    <w:rsid w:val="00AD3ACD"/>
    <w:rsid w:val="00AD4BBB"/>
    <w:rsid w:val="00AD4ED1"/>
    <w:rsid w:val="00AD6F34"/>
    <w:rsid w:val="00AE020D"/>
    <w:rsid w:val="00AE187C"/>
    <w:rsid w:val="00AF0AAB"/>
    <w:rsid w:val="00AF156F"/>
    <w:rsid w:val="00AF3B58"/>
    <w:rsid w:val="00AF616B"/>
    <w:rsid w:val="00B029C9"/>
    <w:rsid w:val="00B034AD"/>
    <w:rsid w:val="00B04169"/>
    <w:rsid w:val="00B0685B"/>
    <w:rsid w:val="00B14206"/>
    <w:rsid w:val="00B153C6"/>
    <w:rsid w:val="00B22D22"/>
    <w:rsid w:val="00B23030"/>
    <w:rsid w:val="00B237B9"/>
    <w:rsid w:val="00B23CAA"/>
    <w:rsid w:val="00B2489D"/>
    <w:rsid w:val="00B33B91"/>
    <w:rsid w:val="00B410EE"/>
    <w:rsid w:val="00B45C89"/>
    <w:rsid w:val="00B63BD0"/>
    <w:rsid w:val="00B72906"/>
    <w:rsid w:val="00B73B0E"/>
    <w:rsid w:val="00B73EA8"/>
    <w:rsid w:val="00B8202D"/>
    <w:rsid w:val="00B82181"/>
    <w:rsid w:val="00B826F3"/>
    <w:rsid w:val="00B853CE"/>
    <w:rsid w:val="00B91271"/>
    <w:rsid w:val="00B91605"/>
    <w:rsid w:val="00B91895"/>
    <w:rsid w:val="00B9211F"/>
    <w:rsid w:val="00B929FD"/>
    <w:rsid w:val="00B95B99"/>
    <w:rsid w:val="00B95F69"/>
    <w:rsid w:val="00B95F75"/>
    <w:rsid w:val="00B961EB"/>
    <w:rsid w:val="00BA4A2A"/>
    <w:rsid w:val="00BB6AD3"/>
    <w:rsid w:val="00BB7929"/>
    <w:rsid w:val="00BC0122"/>
    <w:rsid w:val="00BC16C1"/>
    <w:rsid w:val="00BC2015"/>
    <w:rsid w:val="00BC66FE"/>
    <w:rsid w:val="00BC71B0"/>
    <w:rsid w:val="00BD4E08"/>
    <w:rsid w:val="00BD6DBC"/>
    <w:rsid w:val="00BE0B9A"/>
    <w:rsid w:val="00BE17FE"/>
    <w:rsid w:val="00BE363D"/>
    <w:rsid w:val="00BE3E2D"/>
    <w:rsid w:val="00BE7E93"/>
    <w:rsid w:val="00BF027B"/>
    <w:rsid w:val="00BF4590"/>
    <w:rsid w:val="00BF597E"/>
    <w:rsid w:val="00C03098"/>
    <w:rsid w:val="00C04CC6"/>
    <w:rsid w:val="00C10351"/>
    <w:rsid w:val="00C10EF3"/>
    <w:rsid w:val="00C14685"/>
    <w:rsid w:val="00C31C73"/>
    <w:rsid w:val="00C45A5F"/>
    <w:rsid w:val="00C5098F"/>
    <w:rsid w:val="00C5112E"/>
    <w:rsid w:val="00C513CB"/>
    <w:rsid w:val="00C51A36"/>
    <w:rsid w:val="00C548BE"/>
    <w:rsid w:val="00C55228"/>
    <w:rsid w:val="00C60CBC"/>
    <w:rsid w:val="00C62031"/>
    <w:rsid w:val="00C67E19"/>
    <w:rsid w:val="00C67E47"/>
    <w:rsid w:val="00C71E85"/>
    <w:rsid w:val="00C73C26"/>
    <w:rsid w:val="00C745AF"/>
    <w:rsid w:val="00C750BE"/>
    <w:rsid w:val="00C76A3E"/>
    <w:rsid w:val="00C86F9B"/>
    <w:rsid w:val="00C87FEE"/>
    <w:rsid w:val="00C90930"/>
    <w:rsid w:val="00C9113A"/>
    <w:rsid w:val="00C920A9"/>
    <w:rsid w:val="00C93340"/>
    <w:rsid w:val="00C941A7"/>
    <w:rsid w:val="00CB0154"/>
    <w:rsid w:val="00CB098F"/>
    <w:rsid w:val="00CB0D49"/>
    <w:rsid w:val="00CB127F"/>
    <w:rsid w:val="00CB260B"/>
    <w:rsid w:val="00CB3729"/>
    <w:rsid w:val="00CB43FE"/>
    <w:rsid w:val="00CB49F0"/>
    <w:rsid w:val="00CB54BF"/>
    <w:rsid w:val="00CC2A01"/>
    <w:rsid w:val="00CC6864"/>
    <w:rsid w:val="00CD394A"/>
    <w:rsid w:val="00CD6C83"/>
    <w:rsid w:val="00CE0AA5"/>
    <w:rsid w:val="00CE2A9E"/>
    <w:rsid w:val="00CE315A"/>
    <w:rsid w:val="00CE4B8A"/>
    <w:rsid w:val="00CE7BE1"/>
    <w:rsid w:val="00CF1062"/>
    <w:rsid w:val="00CF147A"/>
    <w:rsid w:val="00CF1726"/>
    <w:rsid w:val="00CF5473"/>
    <w:rsid w:val="00CF5717"/>
    <w:rsid w:val="00CF5A39"/>
    <w:rsid w:val="00CF6C5C"/>
    <w:rsid w:val="00CF6F65"/>
    <w:rsid w:val="00CF7295"/>
    <w:rsid w:val="00D004F0"/>
    <w:rsid w:val="00D06F59"/>
    <w:rsid w:val="00D209B7"/>
    <w:rsid w:val="00D21AF9"/>
    <w:rsid w:val="00D3392D"/>
    <w:rsid w:val="00D34A3D"/>
    <w:rsid w:val="00D34C3B"/>
    <w:rsid w:val="00D379ED"/>
    <w:rsid w:val="00D37D1B"/>
    <w:rsid w:val="00D41F5E"/>
    <w:rsid w:val="00D429D7"/>
    <w:rsid w:val="00D42D53"/>
    <w:rsid w:val="00D55E69"/>
    <w:rsid w:val="00D562F6"/>
    <w:rsid w:val="00D70147"/>
    <w:rsid w:val="00D74FBF"/>
    <w:rsid w:val="00D7717E"/>
    <w:rsid w:val="00D80770"/>
    <w:rsid w:val="00D83050"/>
    <w:rsid w:val="00D8388C"/>
    <w:rsid w:val="00D90417"/>
    <w:rsid w:val="00D94B75"/>
    <w:rsid w:val="00D97182"/>
    <w:rsid w:val="00DA0DF0"/>
    <w:rsid w:val="00DA4786"/>
    <w:rsid w:val="00DB1D00"/>
    <w:rsid w:val="00DD10DC"/>
    <w:rsid w:val="00DD1C8E"/>
    <w:rsid w:val="00DD1D21"/>
    <w:rsid w:val="00DD7876"/>
    <w:rsid w:val="00DE146D"/>
    <w:rsid w:val="00DE2D80"/>
    <w:rsid w:val="00DE6FCE"/>
    <w:rsid w:val="00DF1C4B"/>
    <w:rsid w:val="00DF6570"/>
    <w:rsid w:val="00DF76DB"/>
    <w:rsid w:val="00E038E4"/>
    <w:rsid w:val="00E0475D"/>
    <w:rsid w:val="00E0521C"/>
    <w:rsid w:val="00E0565B"/>
    <w:rsid w:val="00E070B7"/>
    <w:rsid w:val="00E11CD7"/>
    <w:rsid w:val="00E13D9A"/>
    <w:rsid w:val="00E14BA9"/>
    <w:rsid w:val="00E217A8"/>
    <w:rsid w:val="00E221C3"/>
    <w:rsid w:val="00E31E94"/>
    <w:rsid w:val="00E31F2E"/>
    <w:rsid w:val="00E32D13"/>
    <w:rsid w:val="00E34C52"/>
    <w:rsid w:val="00E41303"/>
    <w:rsid w:val="00E43822"/>
    <w:rsid w:val="00E43A35"/>
    <w:rsid w:val="00E457E0"/>
    <w:rsid w:val="00E45C87"/>
    <w:rsid w:val="00E47590"/>
    <w:rsid w:val="00E54035"/>
    <w:rsid w:val="00E5717A"/>
    <w:rsid w:val="00E62996"/>
    <w:rsid w:val="00E63714"/>
    <w:rsid w:val="00E64A51"/>
    <w:rsid w:val="00E6527A"/>
    <w:rsid w:val="00E676F9"/>
    <w:rsid w:val="00E67C09"/>
    <w:rsid w:val="00E721FF"/>
    <w:rsid w:val="00E72F7D"/>
    <w:rsid w:val="00E82715"/>
    <w:rsid w:val="00E910C0"/>
    <w:rsid w:val="00E954BE"/>
    <w:rsid w:val="00E95637"/>
    <w:rsid w:val="00E97424"/>
    <w:rsid w:val="00EA55F7"/>
    <w:rsid w:val="00EA5870"/>
    <w:rsid w:val="00EA7CA1"/>
    <w:rsid w:val="00EB0164"/>
    <w:rsid w:val="00EB5DF5"/>
    <w:rsid w:val="00EB5F3D"/>
    <w:rsid w:val="00EB65F7"/>
    <w:rsid w:val="00EC012F"/>
    <w:rsid w:val="00EC42F5"/>
    <w:rsid w:val="00ED0F62"/>
    <w:rsid w:val="00ED49CB"/>
    <w:rsid w:val="00EE0EBE"/>
    <w:rsid w:val="00EE5CD9"/>
    <w:rsid w:val="00EE664E"/>
    <w:rsid w:val="00EE6713"/>
    <w:rsid w:val="00EE6F50"/>
    <w:rsid w:val="00EF29B6"/>
    <w:rsid w:val="00EF3569"/>
    <w:rsid w:val="00EF36E7"/>
    <w:rsid w:val="00F06B25"/>
    <w:rsid w:val="00F06D09"/>
    <w:rsid w:val="00F079BB"/>
    <w:rsid w:val="00F11201"/>
    <w:rsid w:val="00F115BF"/>
    <w:rsid w:val="00F14D99"/>
    <w:rsid w:val="00F2038C"/>
    <w:rsid w:val="00F25AFF"/>
    <w:rsid w:val="00F31E8A"/>
    <w:rsid w:val="00F323F2"/>
    <w:rsid w:val="00F32CB9"/>
    <w:rsid w:val="00F33729"/>
    <w:rsid w:val="00F3372A"/>
    <w:rsid w:val="00F35CD7"/>
    <w:rsid w:val="00F3666E"/>
    <w:rsid w:val="00F36BE9"/>
    <w:rsid w:val="00F377A9"/>
    <w:rsid w:val="00F41617"/>
    <w:rsid w:val="00F41FF9"/>
    <w:rsid w:val="00F42776"/>
    <w:rsid w:val="00F44D4E"/>
    <w:rsid w:val="00F47878"/>
    <w:rsid w:val="00F55DB9"/>
    <w:rsid w:val="00F606E1"/>
    <w:rsid w:val="00F63F72"/>
    <w:rsid w:val="00F66C77"/>
    <w:rsid w:val="00F6739D"/>
    <w:rsid w:val="00F83639"/>
    <w:rsid w:val="00F83EB6"/>
    <w:rsid w:val="00F840C3"/>
    <w:rsid w:val="00F856F5"/>
    <w:rsid w:val="00F8598C"/>
    <w:rsid w:val="00F956F5"/>
    <w:rsid w:val="00F97505"/>
    <w:rsid w:val="00FA0833"/>
    <w:rsid w:val="00FA2988"/>
    <w:rsid w:val="00FA350D"/>
    <w:rsid w:val="00FB03C3"/>
    <w:rsid w:val="00FB150B"/>
    <w:rsid w:val="00FB5A65"/>
    <w:rsid w:val="00FB6C45"/>
    <w:rsid w:val="00FC01AB"/>
    <w:rsid w:val="00FC2F86"/>
    <w:rsid w:val="00FC3987"/>
    <w:rsid w:val="00FC5A11"/>
    <w:rsid w:val="00FD0A28"/>
    <w:rsid w:val="00FD2869"/>
    <w:rsid w:val="00FD5EE5"/>
    <w:rsid w:val="00FD72A6"/>
    <w:rsid w:val="00FE09C9"/>
    <w:rsid w:val="00FE3DB1"/>
    <w:rsid w:val="00FE62BD"/>
    <w:rsid w:val="00FF0B62"/>
    <w:rsid w:val="029E3E9D"/>
    <w:rsid w:val="03B05DD2"/>
    <w:rsid w:val="05F95B1B"/>
    <w:rsid w:val="061137A1"/>
    <w:rsid w:val="07F752A5"/>
    <w:rsid w:val="088E3860"/>
    <w:rsid w:val="09C37DDF"/>
    <w:rsid w:val="09FC71BC"/>
    <w:rsid w:val="0B2F486A"/>
    <w:rsid w:val="0BD36EDC"/>
    <w:rsid w:val="0C3648AD"/>
    <w:rsid w:val="104F40E4"/>
    <w:rsid w:val="108219C2"/>
    <w:rsid w:val="120410B5"/>
    <w:rsid w:val="154B63E3"/>
    <w:rsid w:val="15C96FDF"/>
    <w:rsid w:val="15E74CB1"/>
    <w:rsid w:val="15FE473B"/>
    <w:rsid w:val="16390CF7"/>
    <w:rsid w:val="18D4070E"/>
    <w:rsid w:val="194574E2"/>
    <w:rsid w:val="198B71C0"/>
    <w:rsid w:val="1A5C1888"/>
    <w:rsid w:val="1AD81C90"/>
    <w:rsid w:val="1B5D7D5F"/>
    <w:rsid w:val="1B777320"/>
    <w:rsid w:val="1C9B31A0"/>
    <w:rsid w:val="1DAA77A7"/>
    <w:rsid w:val="1DC8247E"/>
    <w:rsid w:val="1E5344F9"/>
    <w:rsid w:val="1F6E4C84"/>
    <w:rsid w:val="1F996119"/>
    <w:rsid w:val="2171736E"/>
    <w:rsid w:val="22DA67A0"/>
    <w:rsid w:val="231B7E62"/>
    <w:rsid w:val="23646952"/>
    <w:rsid w:val="24114171"/>
    <w:rsid w:val="243702D0"/>
    <w:rsid w:val="261E6BA2"/>
    <w:rsid w:val="28494E93"/>
    <w:rsid w:val="2A152BE7"/>
    <w:rsid w:val="2A904FAE"/>
    <w:rsid w:val="2AAF76B8"/>
    <w:rsid w:val="2AED0609"/>
    <w:rsid w:val="2BF3446C"/>
    <w:rsid w:val="2D1E5BDE"/>
    <w:rsid w:val="30A925BF"/>
    <w:rsid w:val="30D1169A"/>
    <w:rsid w:val="313660F3"/>
    <w:rsid w:val="31A64B75"/>
    <w:rsid w:val="33600675"/>
    <w:rsid w:val="356857B7"/>
    <w:rsid w:val="37954704"/>
    <w:rsid w:val="38816CDE"/>
    <w:rsid w:val="394D4817"/>
    <w:rsid w:val="39D52D6D"/>
    <w:rsid w:val="3B1C4698"/>
    <w:rsid w:val="3BD82AF5"/>
    <w:rsid w:val="3BFC415B"/>
    <w:rsid w:val="3C074EDE"/>
    <w:rsid w:val="3DE54753"/>
    <w:rsid w:val="3F5F2B6E"/>
    <w:rsid w:val="40616A59"/>
    <w:rsid w:val="40646B49"/>
    <w:rsid w:val="43E26C61"/>
    <w:rsid w:val="442059FF"/>
    <w:rsid w:val="448E28BE"/>
    <w:rsid w:val="4670316E"/>
    <w:rsid w:val="46FC4B66"/>
    <w:rsid w:val="47421B61"/>
    <w:rsid w:val="47481C65"/>
    <w:rsid w:val="478C44AF"/>
    <w:rsid w:val="47D93B88"/>
    <w:rsid w:val="49B75720"/>
    <w:rsid w:val="4A647FF2"/>
    <w:rsid w:val="4A830AC5"/>
    <w:rsid w:val="4D68038A"/>
    <w:rsid w:val="4D7F735C"/>
    <w:rsid w:val="4DC51F87"/>
    <w:rsid w:val="4EBD565D"/>
    <w:rsid w:val="4F3972CB"/>
    <w:rsid w:val="4FF0324F"/>
    <w:rsid w:val="500F2621"/>
    <w:rsid w:val="512A5B18"/>
    <w:rsid w:val="542D0BF9"/>
    <w:rsid w:val="54327F61"/>
    <w:rsid w:val="56542BED"/>
    <w:rsid w:val="567F4699"/>
    <w:rsid w:val="56910EF7"/>
    <w:rsid w:val="577E1B28"/>
    <w:rsid w:val="57D12048"/>
    <w:rsid w:val="58092875"/>
    <w:rsid w:val="583F5B32"/>
    <w:rsid w:val="591B3840"/>
    <w:rsid w:val="596F610E"/>
    <w:rsid w:val="5EA12B9A"/>
    <w:rsid w:val="60766BA9"/>
    <w:rsid w:val="60FD418F"/>
    <w:rsid w:val="616930CE"/>
    <w:rsid w:val="61694DA6"/>
    <w:rsid w:val="61F67143"/>
    <w:rsid w:val="625C4267"/>
    <w:rsid w:val="62F41C7A"/>
    <w:rsid w:val="64542FE8"/>
    <w:rsid w:val="661D61B9"/>
    <w:rsid w:val="69090A9E"/>
    <w:rsid w:val="6CD06EDE"/>
    <w:rsid w:val="6DCC1B4E"/>
    <w:rsid w:val="6E6300FF"/>
    <w:rsid w:val="6E856E85"/>
    <w:rsid w:val="6E930688"/>
    <w:rsid w:val="6F457218"/>
    <w:rsid w:val="6F486209"/>
    <w:rsid w:val="704C72E2"/>
    <w:rsid w:val="70563953"/>
    <w:rsid w:val="71702D3C"/>
    <w:rsid w:val="71FE51BE"/>
    <w:rsid w:val="72786FBF"/>
    <w:rsid w:val="73A1682D"/>
    <w:rsid w:val="74285A1A"/>
    <w:rsid w:val="74370371"/>
    <w:rsid w:val="74DB24E3"/>
    <w:rsid w:val="74DC0BDB"/>
    <w:rsid w:val="74FF6217"/>
    <w:rsid w:val="75CD1CA7"/>
    <w:rsid w:val="7A3B334A"/>
    <w:rsid w:val="7BF1538F"/>
    <w:rsid w:val="7C4F6B44"/>
    <w:rsid w:val="7F1F48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link w:val="1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w:basedOn w:val="1"/>
    <w:link w:val="20"/>
    <w:unhideWhenUsed/>
    <w:qFormat/>
    <w:uiPriority w:val="99"/>
    <w:pPr>
      <w:spacing w:line="420" w:lineRule="exact"/>
    </w:pPr>
    <w:rPr>
      <w:sz w:val="24"/>
    </w:rPr>
  </w:style>
  <w:style w:type="paragraph" w:styleId="5">
    <w:name w:val="Plain Text"/>
    <w:basedOn w:val="1"/>
    <w:link w:val="22"/>
    <w:qFormat/>
    <w:uiPriority w:val="0"/>
    <w:rPr>
      <w:rFonts w:ascii="宋体" w:hAnsi="Courier New"/>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itle"/>
    <w:basedOn w:val="1"/>
    <w:link w:val="23"/>
    <w:qFormat/>
    <w:uiPriority w:val="0"/>
    <w:pPr>
      <w:widowControl/>
      <w:jc w:val="center"/>
    </w:pPr>
    <w:rPr>
      <w:rFonts w:ascii="Book Antiqua" w:hAnsi="Book Antiqua"/>
      <w:b/>
      <w:kern w:val="0"/>
      <w:sz w:val="31"/>
      <w:szCs w:val="31"/>
      <w:u w:val="single"/>
      <w:lang w:eastAsia="en-US"/>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12"/>
    <w:link w:val="8"/>
    <w:qFormat/>
    <w:uiPriority w:val="0"/>
    <w:rPr>
      <w:rFonts w:ascii="Times New Roman" w:hAnsi="Times New Roman" w:eastAsia="宋体" w:cs="Times New Roman"/>
      <w:sz w:val="18"/>
      <w:szCs w:val="18"/>
    </w:rPr>
  </w:style>
  <w:style w:type="character" w:customStyle="1" w:styleId="14">
    <w:name w:val="页脚 字符"/>
    <w:basedOn w:val="12"/>
    <w:link w:val="7"/>
    <w:qFormat/>
    <w:uiPriority w:val="99"/>
    <w:rPr>
      <w:rFonts w:ascii="Times New Roman" w:hAnsi="Times New Roman" w:eastAsia="宋体" w:cs="Times New Roman"/>
      <w:sz w:val="18"/>
      <w:szCs w:val="18"/>
    </w:rPr>
  </w:style>
  <w:style w:type="character" w:customStyle="1" w:styleId="15">
    <w:name w:val="批注框文本 字符"/>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fontstyle01"/>
    <w:basedOn w:val="12"/>
    <w:qFormat/>
    <w:uiPriority w:val="0"/>
    <w:rPr>
      <w:rFonts w:hint="eastAsia" w:ascii="宋体" w:hAnsi="宋体" w:eastAsia="宋体"/>
      <w:color w:val="000000"/>
      <w:sz w:val="24"/>
      <w:szCs w:val="24"/>
    </w:rPr>
  </w:style>
  <w:style w:type="character" w:customStyle="1" w:styleId="18">
    <w:name w:val="fontstyle21"/>
    <w:basedOn w:val="12"/>
    <w:qFormat/>
    <w:uiPriority w:val="0"/>
    <w:rPr>
      <w:rFonts w:hint="default" w:ascii="Times New Roman" w:hAnsi="Times New Roman" w:cs="Times New Roman"/>
      <w:color w:val="000000"/>
      <w:sz w:val="24"/>
      <w:szCs w:val="24"/>
    </w:rPr>
  </w:style>
  <w:style w:type="character" w:customStyle="1" w:styleId="19">
    <w:name w:val="标题 2 字符"/>
    <w:basedOn w:val="12"/>
    <w:link w:val="2"/>
    <w:qFormat/>
    <w:uiPriority w:val="9"/>
    <w:rPr>
      <w:rFonts w:asciiTheme="majorHAnsi" w:hAnsiTheme="majorHAnsi" w:eastAsiaTheme="majorEastAsia" w:cstheme="majorBidi"/>
      <w:b/>
      <w:bCs/>
      <w:kern w:val="2"/>
      <w:sz w:val="32"/>
      <w:szCs w:val="32"/>
    </w:rPr>
  </w:style>
  <w:style w:type="character" w:customStyle="1" w:styleId="20">
    <w:name w:val="正文文本 字符"/>
    <w:basedOn w:val="12"/>
    <w:link w:val="4"/>
    <w:qFormat/>
    <w:uiPriority w:val="99"/>
    <w:rPr>
      <w:rFonts w:ascii="Times New Roman" w:hAnsi="Times New Roman" w:eastAsia="宋体" w:cs="Times New Roman"/>
      <w:kern w:val="2"/>
      <w:sz w:val="24"/>
    </w:rPr>
  </w:style>
  <w:style w:type="paragraph" w:customStyle="1" w:styleId="21">
    <w:name w:val="表格文字"/>
    <w:basedOn w:val="1"/>
    <w:qFormat/>
    <w:uiPriority w:val="0"/>
    <w:pPr>
      <w:spacing w:before="25" w:after="25"/>
    </w:pPr>
    <w:rPr>
      <w:bCs/>
      <w:spacing w:val="10"/>
    </w:rPr>
  </w:style>
  <w:style w:type="character" w:customStyle="1" w:styleId="22">
    <w:name w:val="纯文本 字符"/>
    <w:basedOn w:val="12"/>
    <w:link w:val="5"/>
    <w:qFormat/>
    <w:uiPriority w:val="0"/>
    <w:rPr>
      <w:rFonts w:ascii="宋体" w:hAnsi="Courier New" w:eastAsia="宋体" w:cs="Times New Roman"/>
      <w:kern w:val="2"/>
      <w:sz w:val="21"/>
    </w:rPr>
  </w:style>
  <w:style w:type="character" w:customStyle="1" w:styleId="23">
    <w:name w:val="标题 字符"/>
    <w:basedOn w:val="12"/>
    <w:link w:val="9"/>
    <w:qFormat/>
    <w:uiPriority w:val="0"/>
    <w:rPr>
      <w:rFonts w:ascii="Book Antiqua" w:hAnsi="Book Antiqua" w:eastAsia="宋体" w:cs="Times New Roman"/>
      <w:b/>
      <w:sz w:val="31"/>
      <w:szCs w:val="31"/>
      <w:u w:val="single"/>
      <w:lang w:eastAsia="en-US"/>
    </w:rPr>
  </w:style>
  <w:style w:type="paragraph" w:styleId="2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1000</Words>
  <Characters>5701</Characters>
  <Lines>47</Lines>
  <Paragraphs>13</Paragraphs>
  <TotalTime>2</TotalTime>
  <ScaleCrop>false</ScaleCrop>
  <LinksUpToDate>false</LinksUpToDate>
  <CharactersWithSpaces>6688</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2021-11-18T03:19:52Z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30BC6D8ECF9F4EFE95069C4AD9D59F71</vt:lpwstr>
  </property>
</Properties>
</file>