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715"/>
        <w:gridCol w:w="2075"/>
        <w:gridCol w:w="195"/>
        <w:gridCol w:w="730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武陵区雨来水产养殖场</w:t>
            </w:r>
            <w:bookmarkEnd w:id="7"/>
          </w:p>
        </w:tc>
        <w:tc>
          <w:tcPr>
            <w:tcW w:w="9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bookmarkStart w:id="8" w:name="专业代码"/>
            <w:r>
              <w:rPr>
                <w:rFonts w:hint="eastAsia"/>
                <w:b/>
                <w:sz w:val="20"/>
                <w:lang w:val="en-US" w:eastAsia="zh-CN"/>
              </w:rPr>
              <w:t>Q：29.07.08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O：29.07.08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O：29.07.08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77265" cy="291465"/>
                  <wp:effectExtent l="0" t="0" r="635" b="635"/>
                  <wp:docPr id="3" name="图片 1" descr="81777d9a0972aa9376b84cbeac71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1777d9a0972aa9376b84cbeac714a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 xml:space="preserve">销售：客户接触----合同评审----签订合同-----客户付款------入帐------采购-----客户提货-----验收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销售过程的风险主要是：1、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产品质量不达标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交付前业务人员进行检测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产品性能未能满足客户需求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及时与客户沟通，了解客户需求。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法律法规内容变化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，应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定期检查公司所执行的法律法规、规范、标准的更新信息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：销售服务过程</w:t>
            </w:r>
            <w:r>
              <w:rPr>
                <w:rFonts w:hint="eastAsia"/>
                <w:b/>
                <w:sz w:val="20"/>
              </w:rPr>
              <w:t>。对人员从业资格及能力、设备设施使用保养、</w:t>
            </w:r>
            <w:r>
              <w:rPr>
                <w:rFonts w:hint="eastAsia"/>
                <w:b/>
                <w:sz w:val="20"/>
                <w:lang w:val="en-US" w:eastAsia="zh-CN"/>
              </w:rPr>
              <w:t>工作环境的要求、</w:t>
            </w:r>
            <w:r>
              <w:rPr>
                <w:rFonts w:hint="eastAsia"/>
                <w:b/>
                <w:sz w:val="20"/>
              </w:rPr>
              <w:t>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提供了《环境因素的识别、评价控制程序》，对环境因素评价结果、控制手段等做出了规定。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环境因素识别评价表》，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销售过程（固废、噪声排放、火灾、电能消耗、粉尘排放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查到：《重要环境因素清单》，公司涉及重要环境因素：固体废弃物的排放，潜在火灾等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提供了《危险源辨识、风险评价和控制措施确定控制程序》，对危险源的识别、评价结果、控制手段等做出了规定。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查《危险源辨识及风险评价表》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，识别了办公和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销售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过程中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垃圾不理不及时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疾病传染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人离开未断电源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可能导致的火灾、生产过程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违规操作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人身伤害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等危险源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snapToGrid w:val="0"/>
              <w:spacing w:line="240" w:lineRule="auto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查到：《不可接受风险清单》，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公司涉及重大危险源：潜在火灾、触电、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交通事故等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危险源、不可接受风险等通过运行控制、管理方案、应急准备与响应进行控制。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中华人民共和国消费者权益保护法、中华人民共和国计量法、中华人民共和国价格法、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SB/T 10893-2012预包装鲜食莲藕流通规范、SB/T 10891-2012预包装鲜梨流通规范、SB/T 10890-2012预包装水果流通规范、SB/T 10892-2012预包装鲜苹果流通规范、SB/T 10894-2012预包装鲜食葡萄流通规范、SB/T 10889-2012预包装蔬菜流通规范</w:t>
            </w:r>
            <w:r>
              <w:rPr>
                <w:rFonts w:hint="eastAsia"/>
                <w:b/>
                <w:sz w:val="20"/>
                <w:lang w:val="en-US" w:eastAsia="zh-CN"/>
              </w:rPr>
              <w:t>、GB/T 34767-2017水产品销售与配送良好操作规范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-200660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-112395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0131DC"/>
    <w:rsid w:val="0A4834A5"/>
    <w:rsid w:val="0FEF4004"/>
    <w:rsid w:val="2195620F"/>
    <w:rsid w:val="21DA1699"/>
    <w:rsid w:val="224D0358"/>
    <w:rsid w:val="2C386755"/>
    <w:rsid w:val="2DE57F45"/>
    <w:rsid w:val="3AFD2BA5"/>
    <w:rsid w:val="3CE67FBE"/>
    <w:rsid w:val="3CF81310"/>
    <w:rsid w:val="4D023F2D"/>
    <w:rsid w:val="4F414E7D"/>
    <w:rsid w:val="53916743"/>
    <w:rsid w:val="546D2B6B"/>
    <w:rsid w:val="59870CFB"/>
    <w:rsid w:val="59DB1D6E"/>
    <w:rsid w:val="5BAC156A"/>
    <w:rsid w:val="636F2ED1"/>
    <w:rsid w:val="658556D2"/>
    <w:rsid w:val="69AF0748"/>
    <w:rsid w:val="6AD91941"/>
    <w:rsid w:val="6D192053"/>
    <w:rsid w:val="6DD6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2021-11-16T07:25:35Z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