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涉及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受审核部门：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市场营销中心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主管领导：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张海洋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 陪同人员：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黄研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审核员：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林兵 王献华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应红艳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    审核时间：202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年11月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日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审核条款：E/O: 5.3、6.2、6.1.2、6.1.4、7.4、8.1、8.2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60" w:type="dxa"/>
          </w:tcPr>
          <w:p>
            <w:pPr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EO5.3</w:t>
            </w:r>
            <w:r>
              <w:rPr>
                <w:rFonts w:hint="eastAsia" w:ascii="等线" w:hAnsi="等线" w:eastAsia="等线" w:cs="等线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市场营销中心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主要负责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组织业务招投标、标书准备、物业服务方案策划等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及相关环境、职业健康安全管理活动的实施与执行。</w:t>
            </w:r>
          </w:p>
          <w:p>
            <w:pPr>
              <w:ind w:firstLine="420"/>
              <w:rPr>
                <w:rFonts w:hint="eastAsia" w:ascii="等线" w:hAnsi="等线" w:eastAsia="等线" w:cs="等线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与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市场营销中心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负责人沟通，描述的职责和权限与一体化管理体系的职能分配表基本一致。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符合要求。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EO:6.2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涉及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市场营销中心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的环境和职业健康安全管理目标及完成情况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如下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：</w:t>
            </w:r>
          </w:p>
          <w:tbl>
            <w:tblPr>
              <w:tblStyle w:val="8"/>
              <w:tblpPr w:leftFromText="180" w:rightFromText="180" w:vertAnchor="text" w:horzAnchor="page" w:tblpX="483" w:tblpY="98"/>
              <w:tblOverlap w:val="never"/>
              <w:tblW w:w="83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20"/>
              <w:gridCol w:w="993"/>
              <w:gridCol w:w="2427"/>
              <w:gridCol w:w="907"/>
              <w:gridCol w:w="11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目标项目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目标值</w:t>
                  </w:r>
                </w:p>
              </w:tc>
              <w:tc>
                <w:tcPr>
                  <w:tcW w:w="242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数据来源</w:t>
                  </w:r>
                </w:p>
              </w:tc>
              <w:tc>
                <w:tcPr>
                  <w:tcW w:w="90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实现值</w:t>
                  </w:r>
                </w:p>
              </w:tc>
              <w:tc>
                <w:tcPr>
                  <w:tcW w:w="1173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判定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合同评审率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100％</w:t>
                  </w:r>
                </w:p>
              </w:tc>
              <w:tc>
                <w:tcPr>
                  <w:tcW w:w="242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评审检查数据</w:t>
                  </w:r>
                </w:p>
              </w:tc>
              <w:tc>
                <w:tcPr>
                  <w:tcW w:w="90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173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both"/>
                    <w:rPr>
                      <w:rFonts w:hint="eastAsia" w:ascii="等线" w:hAnsi="等线" w:eastAsia="等线" w:cs="等线"/>
                      <w:color w:val="00000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服务方案设计一次符合率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≥</w:t>
                  </w:r>
                  <w:r>
                    <w:rPr>
                      <w:rFonts w:hint="eastAsia" w:ascii="等线" w:hAnsi="等线" w:eastAsia="等线" w:cs="等线"/>
                      <w:spacing w:val="14"/>
                      <w:position w:val="2"/>
                      <w:sz w:val="21"/>
                      <w:szCs w:val="21"/>
                    </w:rPr>
                    <w:t>90％</w:t>
                  </w:r>
                </w:p>
              </w:tc>
              <w:tc>
                <w:tcPr>
                  <w:tcW w:w="242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设计开发检查信息</w:t>
                  </w:r>
                </w:p>
              </w:tc>
              <w:tc>
                <w:tcPr>
                  <w:tcW w:w="90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173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both"/>
                    <w:rPr>
                      <w:rFonts w:hint="eastAsia" w:ascii="等线" w:hAnsi="等线" w:eastAsia="等线" w:cs="等线"/>
                      <w:color w:val="00000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等线" w:hAnsi="等线" w:eastAsia="等线" w:cs="等线"/>
                      <w:spacing w:val="14"/>
                      <w:position w:val="2"/>
                      <w:sz w:val="21"/>
                      <w:szCs w:val="21"/>
                    </w:rPr>
                    <w:t>服务规范文件覆盖率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≥85</w:t>
                  </w:r>
                  <w:r>
                    <w:rPr>
                      <w:rFonts w:hint="eastAsia" w:ascii="等线" w:hAnsi="等线" w:eastAsia="等线" w:cs="等线"/>
                      <w:spacing w:val="14"/>
                      <w:position w:val="2"/>
                      <w:sz w:val="21"/>
                      <w:szCs w:val="21"/>
                    </w:rPr>
                    <w:t>％</w:t>
                  </w:r>
                </w:p>
              </w:tc>
              <w:tc>
                <w:tcPr>
                  <w:tcW w:w="242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过程、活动规范文件覆盖情况</w:t>
                  </w:r>
                </w:p>
              </w:tc>
              <w:tc>
                <w:tcPr>
                  <w:tcW w:w="90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90%</w:t>
                  </w:r>
                </w:p>
              </w:tc>
              <w:tc>
                <w:tcPr>
                  <w:tcW w:w="1173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color w:val="00000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环境、职业健康安全运行检查合格率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≥95%</w:t>
                  </w:r>
                </w:p>
              </w:tc>
              <w:tc>
                <w:tcPr>
                  <w:tcW w:w="242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检查信息统计</w:t>
                  </w:r>
                </w:p>
              </w:tc>
              <w:tc>
                <w:tcPr>
                  <w:tcW w:w="90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98%</w:t>
                  </w:r>
                </w:p>
              </w:tc>
              <w:tc>
                <w:tcPr>
                  <w:tcW w:w="1173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等线" w:hAnsi="等线" w:eastAsia="等线" w:cs="等线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 w:cs="等线"/>
                      <w:sz w:val="21"/>
                      <w:szCs w:val="21"/>
                    </w:rPr>
                    <w:t>符合</w:t>
                  </w:r>
                </w:p>
              </w:tc>
            </w:tr>
          </w:tbl>
          <w:p>
            <w:pPr>
              <w:snapToGrid w:val="0"/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目标可测量，与方针一致。根据提供的数据显示，以上管理目标已全部完成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考核：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班小许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审批：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焦德尚；截止时间：2021年10月18日。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</w:tcPr>
          <w:p>
            <w:pPr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环境因素/危险源辨识与评价应对措施</w:t>
            </w:r>
          </w:p>
        </w:tc>
        <w:tc>
          <w:tcPr>
            <w:tcW w:w="960" w:type="dxa"/>
          </w:tcPr>
          <w:p>
            <w:pPr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EO6.1.2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/</w:t>
            </w:r>
            <w:r>
              <w:rPr>
                <w:rFonts w:hint="eastAsia" w:ascii="等线" w:hAnsi="等线" w:eastAsia="等线" w:cs="等线"/>
                <w:szCs w:val="21"/>
              </w:rPr>
              <w:t>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市场营销中心在危险源辨识和环境因素辨识方面同行政管理中心。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提供了《环境因素识别评价表》，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行政管理中心</w:t>
            </w:r>
            <w:r>
              <w:rPr>
                <w:rFonts w:hint="eastAsia" w:ascii="等线" w:hAnsi="等线" w:eastAsia="等线" w:cs="等线"/>
                <w:szCs w:val="21"/>
              </w:rPr>
              <w:t>所识别的环境因素标明时态、状态和对环境的影响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szCs w:val="21"/>
              </w:rPr>
              <w:t>对在办公活动中产生的纸张、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水</w:t>
            </w:r>
            <w:r>
              <w:rPr>
                <w:rFonts w:hint="eastAsia" w:ascii="等线" w:hAnsi="等线" w:eastAsia="等线" w:cs="等线"/>
                <w:szCs w:val="21"/>
              </w:rPr>
              <w:t>电等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能源资源</w:t>
            </w:r>
            <w:r>
              <w:rPr>
                <w:rFonts w:hint="eastAsia" w:ascii="等线" w:hAnsi="等线" w:eastAsia="等线" w:cs="等线"/>
                <w:szCs w:val="21"/>
              </w:rPr>
              <w:t>消耗、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固废（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墨盒、硒鼓、灯管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）</w:t>
            </w:r>
            <w:r>
              <w:rPr>
                <w:rFonts w:hint="eastAsia" w:ascii="等线" w:hAnsi="等线" w:eastAsia="等线" w:cs="等线"/>
                <w:szCs w:val="21"/>
              </w:rPr>
              <w:t>的废弃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火灾的发生</w:t>
            </w:r>
            <w:r>
              <w:rPr>
                <w:rFonts w:hint="eastAsia" w:ascii="等线" w:hAnsi="等线" w:eastAsia="等线" w:cs="等线"/>
                <w:szCs w:val="21"/>
              </w:rPr>
              <w:t>等环境因素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进行了识别和监视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szCs w:val="21"/>
              </w:rPr>
              <w:t>编制：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班小许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szCs w:val="21"/>
              </w:rPr>
              <w:t>批准：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焦德尚；</w:t>
            </w:r>
            <w:r>
              <w:rPr>
                <w:rFonts w:hint="eastAsia" w:ascii="等线" w:hAnsi="等线" w:eastAsia="等线" w:cs="等线"/>
                <w:szCs w:val="21"/>
              </w:rPr>
              <w:t>日期：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20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21</w:t>
            </w:r>
            <w:r>
              <w:rPr>
                <w:rFonts w:hint="eastAsia" w:ascii="等线" w:hAnsi="等线" w:eastAsia="等线" w:cs="等线"/>
                <w:szCs w:val="21"/>
              </w:rPr>
              <w:t>年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1月9日。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组织的</w:t>
            </w:r>
            <w:r>
              <w:rPr>
                <w:rFonts w:hint="eastAsia" w:ascii="等线" w:hAnsi="等线" w:eastAsia="等线" w:cs="等线"/>
                <w:szCs w:val="21"/>
              </w:rPr>
              <w:t>重要环境因素采用打分法和是非判断法，由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行政管理中心</w:t>
            </w:r>
            <w:r>
              <w:rPr>
                <w:rFonts w:hint="eastAsia" w:ascii="等线" w:hAnsi="等线" w:eastAsia="等线" w:cs="等线"/>
                <w:szCs w:val="21"/>
              </w:rPr>
              <w:t>统计综合评分方法确定重要环境因素，提供了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《</w:t>
            </w:r>
            <w:r>
              <w:rPr>
                <w:rFonts w:hint="eastAsia" w:ascii="等线" w:hAnsi="等线" w:eastAsia="等线" w:cs="等线"/>
                <w:szCs w:val="21"/>
              </w:rPr>
              <w:t>重要环境因素清单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》，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涉及行政管理的重要环境因素包括</w:t>
            </w:r>
            <w:r>
              <w:rPr>
                <w:rFonts w:hint="eastAsia" w:ascii="等线" w:hAnsi="等线" w:eastAsia="等线" w:cs="等线"/>
                <w:szCs w:val="21"/>
              </w:rPr>
              <w:t>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日常清洗</w:t>
            </w:r>
            <w:r>
              <w:rPr>
                <w:rFonts w:hint="eastAsia" w:ascii="等线" w:hAnsi="等线" w:eastAsia="等线" w:cs="等线"/>
                <w:color w:val="auto"/>
              </w:rPr>
              <w:t>污水排放</w:t>
            </w:r>
            <w:r>
              <w:rPr>
                <w:rFonts w:hint="eastAsia" w:ascii="等线" w:hAnsi="等线" w:eastAsia="等线" w:cs="等线"/>
                <w:color w:val="auto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道路清扫的</w:t>
            </w:r>
            <w:r>
              <w:rPr>
                <w:rFonts w:hint="eastAsia" w:ascii="等线" w:hAnsi="等线" w:eastAsia="等线" w:cs="等线"/>
                <w:color w:val="auto"/>
              </w:rPr>
              <w:t>扬尘排放</w:t>
            </w:r>
            <w:r>
              <w:rPr>
                <w:rFonts w:hint="eastAsia" w:ascii="等线" w:hAnsi="等线" w:eastAsia="等线" w:cs="等线"/>
                <w:color w:val="auto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</w:rPr>
              <w:t>火灾</w:t>
            </w:r>
            <w:r>
              <w:rPr>
                <w:rFonts w:hint="eastAsia" w:ascii="等线" w:hAnsi="等线" w:eastAsia="等线" w:cs="等线"/>
                <w:color w:val="auto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绿化除虫过程中的</w:t>
            </w:r>
            <w:r>
              <w:rPr>
                <w:rFonts w:hint="eastAsia" w:ascii="等线" w:hAnsi="等线" w:eastAsia="等线" w:cs="等线"/>
                <w:color w:val="auto"/>
              </w:rPr>
              <w:t>有毒有害废弃物排放</w:t>
            </w:r>
            <w:r>
              <w:rPr>
                <w:rFonts w:hint="eastAsia" w:ascii="等线" w:hAnsi="等线" w:eastAsia="等线" w:cs="等线"/>
                <w:szCs w:val="21"/>
              </w:rPr>
              <w:t>等；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组织针对</w:t>
            </w:r>
            <w:r>
              <w:rPr>
                <w:rFonts w:hint="eastAsia" w:ascii="等线" w:hAnsi="等线" w:eastAsia="等线" w:cs="等线"/>
                <w:szCs w:val="21"/>
              </w:rPr>
              <w:t>重要环境因素，编制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了</w:t>
            </w:r>
            <w:r>
              <w:rPr>
                <w:rFonts w:hint="eastAsia" w:ascii="等线" w:hAnsi="等线" w:eastAsia="等线" w:cs="等线"/>
                <w:szCs w:val="21"/>
              </w:rPr>
              <w:t>环境目标、指标及管理方案，内容包括：目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标、指标、主要措施、责任部门、经费、时间要求等；编制：班小许；批准：焦德尚   日期：2021年1月10日。针对重要环境因素，进行了行管理措施的策划，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要求：墨盒、硒鼓由供应商回收；灯管统一收集存放处理；定期检查消防设施和线路情况；定期进行用电安全培训；每年开展应急训练不少于1次; 物管服务过程中收集到的危化品及包装桶废弃物，项目部统一收集，交总部统一处置。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组织编制了《危险源识别和风险评价控制程序》，用以指导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提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供了《危险源辨识与风险评价表》，对行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政管理中心</w:t>
            </w:r>
            <w:r>
              <w:rPr>
                <w:rFonts w:hint="eastAsia" w:ascii="等线" w:hAnsi="等线" w:eastAsia="等线" w:cs="等线"/>
                <w:szCs w:val="21"/>
              </w:rPr>
              <w:t>活动场所产生的危险源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包括</w:t>
            </w:r>
            <w:r>
              <w:rPr>
                <w:rFonts w:hint="eastAsia" w:ascii="等线" w:hAnsi="等线" w:eastAsia="等线" w:cs="等线"/>
                <w:szCs w:val="21"/>
              </w:rPr>
              <w:t>在行政办公过程中存在火灾、触电、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疫情感染、高空坠落等</w:t>
            </w:r>
            <w:r>
              <w:rPr>
                <w:rFonts w:hint="eastAsia" w:ascii="等线" w:hAnsi="等线" w:eastAsia="等线" w:cs="等线"/>
                <w:szCs w:val="21"/>
              </w:rPr>
              <w:t>伤亡意外等危险因素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szCs w:val="21"/>
              </w:rPr>
              <w:t>编制：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班小许；</w:t>
            </w:r>
            <w:r>
              <w:rPr>
                <w:rFonts w:hint="eastAsia" w:ascii="等线" w:hAnsi="等线" w:eastAsia="等线" w:cs="等线"/>
                <w:szCs w:val="21"/>
              </w:rPr>
              <w:t>批准：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焦德尚；</w:t>
            </w:r>
            <w:r>
              <w:rPr>
                <w:rFonts w:hint="eastAsia" w:ascii="等线" w:hAnsi="等线" w:eastAsia="等线" w:cs="等线"/>
                <w:szCs w:val="21"/>
              </w:rPr>
              <w:t>日期：202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Cs w:val="21"/>
              </w:rPr>
              <w:t>.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Cs w:val="21"/>
              </w:rPr>
              <w:t>.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15</w:t>
            </w:r>
            <w:r>
              <w:rPr>
                <w:rFonts w:hint="eastAsia" w:ascii="等线" w:hAnsi="等线" w:eastAsia="等线" w:cs="等线"/>
                <w:szCs w:val="21"/>
              </w:rPr>
              <w:t>由各部门有管理经验的人员共同讨论、采用经验法确定不可接受风险。提供了《不可接受风险清单》涉及本部门的不可接受风险有：火灾、触电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Cs w:val="21"/>
              </w:rPr>
              <w:t>高空坠落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伤害、化学品使用的中毒、疫情防护等</w:t>
            </w:r>
            <w:r>
              <w:rPr>
                <w:rFonts w:hint="eastAsia" w:ascii="等线" w:hAnsi="等线" w:eastAsia="等线" w:cs="等线"/>
                <w:szCs w:val="21"/>
              </w:rPr>
              <w:t>；针对不可接受风险编制了职业健康安全目标、指标及管理方案，内容包括：目标、指标、主要措施、责任部门、经费、时间要求等。编制：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班小许</w:t>
            </w:r>
            <w:r>
              <w:rPr>
                <w:rFonts w:hint="eastAsia" w:ascii="等线" w:hAnsi="等线" w:eastAsia="等线" w:cs="等线"/>
                <w:szCs w:val="21"/>
              </w:rPr>
              <w:t xml:space="preserve">  批准：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焦德尚；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20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21</w:t>
            </w:r>
            <w:r>
              <w:rPr>
                <w:rFonts w:hint="eastAsia" w:ascii="等线" w:hAnsi="等线" w:eastAsia="等线" w:cs="等线"/>
                <w:szCs w:val="21"/>
              </w:rPr>
              <w:t>年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1月10日。基本满足要求。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沟通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EO7.4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编制并实施了《信息交流和沟通管理程序》，规定了职责、工作流程，包括内部沟通和外部沟通的方法和要求。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确定了质量、环境、职业健康安全管理体系相关的内部和外部沟通，包括：沟通什么；何时沟通；与谁沟通；如何沟通；由谁负责，内外部沟通具体体现在公司内部工作会议、环境、职业健康安全例会、员工的培训、宣传栏等，与外部的沟通具体体现在与环保、安监部门及顾客和供方等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合同签订、满意度调查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方面。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市场营销中心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主要负责与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招标企业资源配合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等相关信息的传递和沟通，目前没有发生因沟通不善造成问题的情况。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市场营销中心</w:t>
            </w:r>
            <w:r>
              <w:rPr>
                <w:rFonts w:hint="eastAsia" w:ascii="等线" w:hAnsi="等线" w:eastAsia="等线" w:cs="等线"/>
                <w:szCs w:val="21"/>
              </w:rPr>
              <w:t>按照风险机遇、环境因素、危险源的识别和评价情况以及所确定的应对措施，进行贯彻实施。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其</w:t>
            </w:r>
            <w:r>
              <w:rPr>
                <w:rFonts w:hint="eastAsia" w:ascii="等线" w:hAnsi="等线" w:eastAsia="等线" w:cs="等线"/>
                <w:szCs w:val="21"/>
              </w:rPr>
              <w:t>涉及的环境因素和危险源主要为生活污水的排放、电的消耗、废旧电脑的遗弃、废打印机墨盒的废弃；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同时在投标前，制作标书会到物业现场识别环境因素和危险源，并提出管理措施，关注环境和安全信息</w:t>
            </w:r>
            <w:r>
              <w:rPr>
                <w:rFonts w:hint="eastAsia" w:ascii="等线" w:hAnsi="等线" w:eastAsia="等线" w:cs="等线"/>
                <w:bCs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目前上下班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部门</w:t>
            </w:r>
            <w:r>
              <w:rPr>
                <w:rFonts w:hint="eastAsia" w:ascii="等线" w:hAnsi="等线" w:eastAsia="等线" w:cs="等线"/>
                <w:szCs w:val="21"/>
              </w:rPr>
              <w:t>人员配戴防毒口罩防护设施，办公室统一组织上班人员测量体温并登记信息，对外来人员进行温度测量及查看健康码。对提供各类辅助材料的供方单位发环境和安全告知书，环境和安全要求等信息。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其它环境和职业健康安全运行控制记录见行政管理中心EO8.1。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编制了《应急准备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与</w:t>
            </w:r>
            <w:r>
              <w:rPr>
                <w:rFonts w:hint="eastAsia" w:ascii="等线" w:hAnsi="等线" w:eastAsia="等线" w:cs="等线"/>
                <w:szCs w:val="21"/>
              </w:rPr>
              <w:t>响应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控制</w:t>
            </w:r>
            <w:r>
              <w:rPr>
                <w:rFonts w:hint="eastAsia" w:ascii="等线" w:hAnsi="等线" w:eastAsia="等线" w:cs="等线"/>
                <w:szCs w:val="21"/>
              </w:rPr>
              <w:t>程序》，查看内容基本符合要求。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策划了应急预案包括触电、火灾等应急预案。</w:t>
            </w:r>
          </w:p>
          <w:p>
            <w:pPr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一般以项目部为单位进行消防灭火演练，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市场营销中心应急准备和响应过程同行政管理中心，</w:t>
            </w:r>
            <w:r>
              <w:rPr>
                <w:rFonts w:hint="eastAsia" w:ascii="等线" w:hAnsi="等线" w:eastAsia="等线" w:cs="等线"/>
                <w:szCs w:val="21"/>
              </w:rPr>
              <w:t>应急演练记录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统一见行政管理中心记录</w:t>
            </w:r>
            <w:r>
              <w:rPr>
                <w:rFonts w:hint="eastAsia" w:ascii="等线" w:hAnsi="等线" w:eastAsia="等线" w:cs="等线"/>
                <w:szCs w:val="21"/>
              </w:rPr>
              <w:t>。</w:t>
            </w:r>
          </w:p>
        </w:tc>
        <w:tc>
          <w:tcPr>
            <w:tcW w:w="1585" w:type="dxa"/>
          </w:tcPr>
          <w:p/>
        </w:tc>
      </w:tr>
    </w:tbl>
    <w:p>
      <w:pPr>
        <w:pStyle w:val="5"/>
        <w:rPr>
          <w:rFonts w:hint="eastAsia"/>
        </w:rPr>
      </w:pP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46370"/>
    <w:rsid w:val="00060CE2"/>
    <w:rsid w:val="000841F8"/>
    <w:rsid w:val="000B7900"/>
    <w:rsid w:val="000D6436"/>
    <w:rsid w:val="001032CB"/>
    <w:rsid w:val="001538EB"/>
    <w:rsid w:val="001541DA"/>
    <w:rsid w:val="001A2755"/>
    <w:rsid w:val="001E2BA0"/>
    <w:rsid w:val="002D1F1C"/>
    <w:rsid w:val="002D4069"/>
    <w:rsid w:val="00323D68"/>
    <w:rsid w:val="00376607"/>
    <w:rsid w:val="003852FD"/>
    <w:rsid w:val="003A4641"/>
    <w:rsid w:val="003E6474"/>
    <w:rsid w:val="00411CE7"/>
    <w:rsid w:val="0044635D"/>
    <w:rsid w:val="00477697"/>
    <w:rsid w:val="004B16A6"/>
    <w:rsid w:val="004E08A4"/>
    <w:rsid w:val="00500C21"/>
    <w:rsid w:val="00576BDD"/>
    <w:rsid w:val="005E51DA"/>
    <w:rsid w:val="005F0A26"/>
    <w:rsid w:val="005F58CE"/>
    <w:rsid w:val="006350F0"/>
    <w:rsid w:val="0066443D"/>
    <w:rsid w:val="0068005C"/>
    <w:rsid w:val="006C3B64"/>
    <w:rsid w:val="006E7A70"/>
    <w:rsid w:val="0071526C"/>
    <w:rsid w:val="007420C5"/>
    <w:rsid w:val="007536EE"/>
    <w:rsid w:val="00772101"/>
    <w:rsid w:val="007B1A3B"/>
    <w:rsid w:val="007F5845"/>
    <w:rsid w:val="007F6B96"/>
    <w:rsid w:val="00802252"/>
    <w:rsid w:val="00834B09"/>
    <w:rsid w:val="008722E9"/>
    <w:rsid w:val="00893291"/>
    <w:rsid w:val="008B7D2A"/>
    <w:rsid w:val="008E0C8E"/>
    <w:rsid w:val="008E45B6"/>
    <w:rsid w:val="0094266C"/>
    <w:rsid w:val="00954EA8"/>
    <w:rsid w:val="009B7866"/>
    <w:rsid w:val="009C3AF7"/>
    <w:rsid w:val="00A07938"/>
    <w:rsid w:val="00A3276E"/>
    <w:rsid w:val="00A942EA"/>
    <w:rsid w:val="00AA2D83"/>
    <w:rsid w:val="00AB7281"/>
    <w:rsid w:val="00B01EF6"/>
    <w:rsid w:val="00B325A1"/>
    <w:rsid w:val="00B81B5D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0E01"/>
    <w:rsid w:val="00E412FC"/>
    <w:rsid w:val="00E52DFA"/>
    <w:rsid w:val="00E5540F"/>
    <w:rsid w:val="00E9666B"/>
    <w:rsid w:val="00EF3EBB"/>
    <w:rsid w:val="00F13AB9"/>
    <w:rsid w:val="00F66D86"/>
    <w:rsid w:val="00F67463"/>
    <w:rsid w:val="00F922A5"/>
    <w:rsid w:val="00FB75CB"/>
    <w:rsid w:val="00FD12F5"/>
    <w:rsid w:val="00FD6519"/>
    <w:rsid w:val="03D87EEC"/>
    <w:rsid w:val="120266AF"/>
    <w:rsid w:val="1CFD2F9D"/>
    <w:rsid w:val="37BA1D5F"/>
    <w:rsid w:val="425440AD"/>
    <w:rsid w:val="446F063A"/>
    <w:rsid w:val="465A0995"/>
    <w:rsid w:val="491D6863"/>
    <w:rsid w:val="5C4C112B"/>
    <w:rsid w:val="5EEB3CD7"/>
    <w:rsid w:val="637F2042"/>
    <w:rsid w:val="6EEE2F50"/>
    <w:rsid w:val="70FA3904"/>
    <w:rsid w:val="73A33B75"/>
    <w:rsid w:val="77171B2C"/>
    <w:rsid w:val="7C087B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ind w:left="360"/>
    </w:pPr>
    <w:rPr>
      <w:rFonts w:ascii="宋体"/>
      <w:sz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正文文本缩进 字符"/>
    <w:basedOn w:val="9"/>
    <w:link w:val="3"/>
    <w:qFormat/>
    <w:uiPriority w:val="0"/>
    <w:rPr>
      <w:rFonts w:ascii="宋体" w:hAnsi="Times New Roman" w:eastAsia="宋体" w:cs="Times New Roman"/>
      <w:kern w:val="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422</Words>
  <Characters>2411</Characters>
  <Lines>20</Lines>
  <Paragraphs>5</Paragraphs>
  <TotalTime>3</TotalTime>
  <ScaleCrop>false</ScaleCrop>
  <LinksUpToDate>false</LinksUpToDate>
  <CharactersWithSpaces>2828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2020-11-07T04:35:00Z</dcterms:created>
  <dc:creator>微软用户</dc:creator>
  <cp:lastModifiedBy>森林</cp:lastModifiedBy>
  <dcterms:modified xsi:type="dcterms:W3CDTF">2021-11-25T06:29:02Z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E4C8A0B594F541AB80FDA805B6B23EBC</vt:lpwstr>
  </property>
</Properties>
</file>