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149"/>
        <w:gridCol w:w="9815"/>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sz w:val="24"/>
                <w:szCs w:val="24"/>
              </w:rPr>
            </w:pPr>
            <w:r>
              <w:rPr>
                <w:rFonts w:hint="eastAsia"/>
                <w:sz w:val="24"/>
                <w:szCs w:val="24"/>
              </w:rPr>
              <w:t>过程与活动、</w:t>
            </w: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pPr>
            <w:r>
              <w:rPr>
                <w:rFonts w:hint="eastAsia"/>
                <w:sz w:val="24"/>
                <w:szCs w:val="24"/>
              </w:rPr>
              <w:t>抽样计划</w:t>
            </w:r>
          </w:p>
        </w:tc>
        <w:tc>
          <w:tcPr>
            <w:tcW w:w="1149"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sz w:val="24"/>
                <w:szCs w:val="24"/>
              </w:rPr>
            </w:pPr>
            <w:r>
              <w:rPr>
                <w:rFonts w:hint="eastAsia"/>
                <w:sz w:val="24"/>
                <w:szCs w:val="24"/>
              </w:rPr>
              <w:t>涉及</w:t>
            </w:r>
          </w:p>
          <w:p>
            <w:pPr>
              <w:keepNext w:val="0"/>
              <w:keepLines w:val="0"/>
              <w:pageBreakBefore w:val="0"/>
              <w:widowControl w:val="0"/>
              <w:kinsoku/>
              <w:wordWrap/>
              <w:overflowPunct/>
              <w:topLinePunct w:val="0"/>
              <w:autoSpaceDE/>
              <w:autoSpaceDN/>
              <w:bidi w:val="0"/>
              <w:adjustRightInd/>
              <w:snapToGrid/>
              <w:spacing w:after="0" w:line="360" w:lineRule="auto"/>
              <w:textAlignment w:val="auto"/>
            </w:pPr>
            <w:r>
              <w:rPr>
                <w:rFonts w:hint="eastAsia"/>
                <w:sz w:val="24"/>
                <w:szCs w:val="24"/>
              </w:rPr>
              <w:t>条款</w:t>
            </w:r>
          </w:p>
        </w:tc>
        <w:tc>
          <w:tcPr>
            <w:tcW w:w="9815"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eastAsia="宋体"/>
                <w:sz w:val="24"/>
                <w:szCs w:val="24"/>
                <w:lang w:val="en-US" w:eastAsia="zh-CN"/>
              </w:rPr>
            </w:pPr>
            <w:r>
              <w:rPr>
                <w:rFonts w:hint="eastAsia"/>
                <w:sz w:val="24"/>
                <w:szCs w:val="24"/>
              </w:rPr>
              <w:t>受审核部门：</w:t>
            </w:r>
            <w:r>
              <w:rPr>
                <w:rFonts w:hint="eastAsia"/>
                <w:sz w:val="24"/>
                <w:szCs w:val="24"/>
                <w:lang w:val="en-US" w:eastAsia="zh-CN"/>
              </w:rPr>
              <w:t>行政部</w:t>
            </w:r>
            <w:r>
              <w:rPr>
                <w:rFonts w:hint="eastAsia"/>
                <w:sz w:val="24"/>
                <w:szCs w:val="24"/>
              </w:rPr>
              <w:t xml:space="preserve"> </w:t>
            </w:r>
            <w:r>
              <w:rPr>
                <w:sz w:val="24"/>
                <w:szCs w:val="24"/>
              </w:rPr>
              <w:t xml:space="preserve">             </w:t>
            </w:r>
            <w:r>
              <w:rPr>
                <w:rFonts w:hint="eastAsia"/>
                <w:sz w:val="24"/>
                <w:szCs w:val="24"/>
              </w:rPr>
              <w:t>主管领导：王玉霞</w:t>
            </w:r>
            <w:r>
              <w:rPr>
                <w:sz w:val="24"/>
                <w:szCs w:val="24"/>
              </w:rPr>
              <w:t xml:space="preserve">        </w:t>
            </w:r>
            <w:r>
              <w:rPr>
                <w:rFonts w:hint="eastAsia"/>
                <w:sz w:val="24"/>
                <w:szCs w:val="24"/>
              </w:rPr>
              <w:t>陪同人员：</w:t>
            </w:r>
            <w:r>
              <w:rPr>
                <w:rFonts w:hint="eastAsia"/>
                <w:sz w:val="24"/>
                <w:szCs w:val="24"/>
                <w:lang w:val="en-US" w:eastAsia="zh-CN"/>
              </w:rPr>
              <w:t>杨金平</w:t>
            </w:r>
          </w:p>
        </w:tc>
        <w:tc>
          <w:tcPr>
            <w:tcW w:w="1585"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pPr>
          </w:p>
        </w:tc>
        <w:tc>
          <w:tcPr>
            <w:tcW w:w="1149"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pPr>
          </w:p>
        </w:tc>
        <w:tc>
          <w:tcPr>
            <w:tcW w:w="9815"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pPr>
            <w:r>
              <w:rPr>
                <w:rFonts w:hint="eastAsia"/>
                <w:sz w:val="24"/>
                <w:szCs w:val="24"/>
              </w:rPr>
              <w:t>审核员：</w:t>
            </w:r>
            <w:bookmarkStart w:id="0" w:name="审核组成员不含组长"/>
            <w:r>
              <w:rPr>
                <w:rFonts w:hint="eastAsia"/>
                <w:sz w:val="24"/>
                <w:szCs w:val="24"/>
              </w:rPr>
              <w:t>刘秋秋</w:t>
            </w:r>
            <w:bookmarkEnd w:id="0"/>
            <w:r>
              <w:rPr>
                <w:rFonts w:hint="eastAsia"/>
                <w:sz w:val="24"/>
                <w:szCs w:val="24"/>
              </w:rPr>
              <w:t xml:space="preserve"> </w:t>
            </w:r>
            <w:r>
              <w:rPr>
                <w:rFonts w:hint="eastAsia"/>
                <w:sz w:val="24"/>
                <w:szCs w:val="24"/>
                <w:lang w:val="en-US" w:eastAsia="zh-CN"/>
              </w:rPr>
              <w:t>褚敏杰</w:t>
            </w:r>
            <w:r>
              <w:rPr>
                <w:sz w:val="24"/>
                <w:szCs w:val="24"/>
              </w:rPr>
              <w:t xml:space="preserve">           </w:t>
            </w:r>
            <w:r>
              <w:rPr>
                <w:rFonts w:hint="eastAsia"/>
                <w:sz w:val="24"/>
                <w:szCs w:val="24"/>
              </w:rPr>
              <w:t>审核时间：</w:t>
            </w:r>
            <w:bookmarkStart w:id="1" w:name="审核日期"/>
            <w:r>
              <w:t>2021年11月13日下午</w:t>
            </w:r>
            <w:bookmarkEnd w:id="1"/>
          </w:p>
        </w:tc>
        <w:tc>
          <w:tcPr>
            <w:tcW w:w="1585" w:type="dxa"/>
            <w:vMerge w:val="continue"/>
          </w:tcPr>
          <w:p>
            <w:pPr>
              <w:keepNext w:val="0"/>
              <w:keepLines w:val="0"/>
              <w:pageBreakBefore w:val="0"/>
              <w:widowControl w:val="0"/>
              <w:kinsoku/>
              <w:wordWrap/>
              <w:overflowPunct/>
              <w:topLinePunct w:val="0"/>
              <w:autoSpaceDE/>
              <w:autoSpaceDN/>
              <w:bidi w:val="0"/>
              <w:adjustRightInd/>
              <w:snapToGrid/>
              <w:spacing w:after="0" w:line="360" w:lineRule="auto"/>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pPr>
          </w:p>
        </w:tc>
        <w:tc>
          <w:tcPr>
            <w:tcW w:w="1149"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pPr>
          </w:p>
        </w:tc>
        <w:tc>
          <w:tcPr>
            <w:tcW w:w="9815"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sz w:val="24"/>
                <w:szCs w:val="24"/>
              </w:rPr>
            </w:pPr>
            <w:r>
              <w:rPr>
                <w:rFonts w:hint="eastAsia"/>
                <w:sz w:val="24"/>
                <w:szCs w:val="24"/>
              </w:rPr>
              <w:t>审核条款：</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Q:</w:t>
            </w:r>
            <w:r>
              <w:rPr>
                <w:rFonts w:hint="eastAsia" w:ascii="宋体" w:hAnsi="宋体" w:eastAsia="宋体" w:cs="Arial"/>
                <w:color w:val="auto"/>
                <w:spacing w:val="-6"/>
                <w:sz w:val="21"/>
                <w:szCs w:val="21"/>
              </w:rPr>
              <w:t>5.3</w:t>
            </w:r>
            <w:r>
              <w:rPr>
                <w:rFonts w:hint="eastAsia" w:ascii="宋体" w:hAnsi="宋体" w:eastAsia="宋体" w:cs="Arial"/>
                <w:color w:val="auto"/>
                <w:spacing w:val="-6"/>
                <w:sz w:val="21"/>
                <w:szCs w:val="21"/>
                <w:lang w:eastAsia="zh-CN"/>
              </w:rPr>
              <w:t>、</w:t>
            </w:r>
            <w:r>
              <w:rPr>
                <w:rFonts w:hint="eastAsia" w:ascii="宋体" w:hAnsi="宋体" w:cs="Arial"/>
                <w:color w:val="auto"/>
                <w:spacing w:val="-6"/>
                <w:sz w:val="21"/>
                <w:szCs w:val="21"/>
                <w:lang w:val="en-US" w:eastAsia="zh-CN"/>
              </w:rPr>
              <w:t>6.2、7.1.2、</w:t>
            </w:r>
            <w:r>
              <w:rPr>
                <w:rFonts w:hint="eastAsia" w:ascii="宋体" w:hAnsi="宋体" w:eastAsia="宋体" w:cs="Arial"/>
                <w:color w:val="auto"/>
                <w:spacing w:val="-6"/>
                <w:sz w:val="21"/>
                <w:szCs w:val="21"/>
              </w:rPr>
              <w:t>7.2</w:t>
            </w:r>
            <w:r>
              <w:rPr>
                <w:rFonts w:hint="eastAsia" w:ascii="宋体" w:hAnsi="宋体" w:eastAsia="宋体" w:cs="Arial"/>
                <w:color w:val="auto"/>
                <w:spacing w:val="-6"/>
                <w:sz w:val="21"/>
                <w:szCs w:val="21"/>
                <w:lang w:eastAsia="zh-CN"/>
              </w:rPr>
              <w:t>、</w:t>
            </w:r>
            <w:r>
              <w:rPr>
                <w:rFonts w:hint="eastAsia" w:ascii="宋体" w:hAnsi="宋体" w:eastAsia="宋体" w:cs="Arial"/>
                <w:color w:val="auto"/>
                <w:spacing w:val="-6"/>
                <w:sz w:val="21"/>
                <w:szCs w:val="21"/>
                <w:lang w:val="en-US" w:eastAsia="zh-CN"/>
              </w:rPr>
              <w:t>7.3、</w:t>
            </w:r>
            <w:r>
              <w:rPr>
                <w:rFonts w:hint="eastAsia" w:ascii="宋体" w:hAnsi="宋体" w:cs="Arial"/>
                <w:color w:val="auto"/>
                <w:spacing w:val="-6"/>
                <w:sz w:val="21"/>
                <w:szCs w:val="21"/>
                <w:lang w:val="en-US" w:eastAsia="zh-CN"/>
              </w:rPr>
              <w:t>7.5、7.1.6、</w:t>
            </w:r>
            <w:r>
              <w:rPr>
                <w:rFonts w:hint="eastAsia" w:ascii="宋体" w:hAnsi="宋体" w:eastAsia="宋体" w:cs="Arial"/>
                <w:color w:val="auto"/>
                <w:spacing w:val="-6"/>
                <w:sz w:val="21"/>
                <w:szCs w:val="21"/>
              </w:rPr>
              <w:t>9.2</w:t>
            </w:r>
            <w:r>
              <w:rPr>
                <w:rFonts w:hint="eastAsia" w:ascii="宋体" w:hAnsi="宋体" w:eastAsia="宋体" w:cs="Arial"/>
                <w:color w:val="auto"/>
                <w:spacing w:val="-6"/>
                <w:sz w:val="21"/>
                <w:szCs w:val="21"/>
                <w:lang w:eastAsia="zh-CN"/>
              </w:rPr>
              <w:t>、</w:t>
            </w:r>
            <w:r>
              <w:rPr>
                <w:rFonts w:hint="eastAsia" w:ascii="宋体" w:hAnsi="宋体" w:eastAsia="宋体" w:cs="Arial"/>
                <w:color w:val="auto"/>
                <w:spacing w:val="-6"/>
                <w:sz w:val="21"/>
                <w:szCs w:val="21"/>
              </w:rPr>
              <w:t>9.1.1</w:t>
            </w:r>
            <w:r>
              <w:rPr>
                <w:rFonts w:hint="eastAsia" w:ascii="宋体" w:hAnsi="宋体" w:eastAsia="宋体" w:cs="Arial"/>
                <w:color w:val="auto"/>
                <w:spacing w:val="-6"/>
                <w:sz w:val="21"/>
                <w:szCs w:val="21"/>
                <w:lang w:eastAsia="zh-CN"/>
              </w:rPr>
              <w:t>、</w:t>
            </w:r>
            <w:r>
              <w:rPr>
                <w:rFonts w:hint="eastAsia" w:ascii="宋体" w:hAnsi="宋体" w:cs="Arial"/>
                <w:color w:val="auto"/>
                <w:spacing w:val="-6"/>
                <w:sz w:val="21"/>
                <w:szCs w:val="21"/>
                <w:lang w:val="en-US" w:eastAsia="zh-CN"/>
              </w:rPr>
              <w:t>10.2</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sz w:val="24"/>
                <w:szCs w:val="24"/>
              </w:rPr>
            </w:pPr>
            <w:r>
              <w:rPr>
                <w:rFonts w:hint="eastAsia" w:ascii="宋体" w:hAnsi="宋体" w:cs="Arial"/>
                <w:color w:val="auto"/>
                <w:spacing w:val="-6"/>
                <w:sz w:val="21"/>
                <w:szCs w:val="21"/>
                <w:lang w:val="en-US" w:eastAsia="zh-CN"/>
              </w:rPr>
              <w:t>E:</w:t>
            </w:r>
            <w:r>
              <w:rPr>
                <w:rFonts w:hint="eastAsia" w:ascii="宋体" w:hAnsi="宋体" w:eastAsia="宋体" w:cs="Arial"/>
                <w:color w:val="auto"/>
                <w:spacing w:val="-6"/>
                <w:sz w:val="21"/>
                <w:szCs w:val="21"/>
              </w:rPr>
              <w:t>5.3</w:t>
            </w:r>
            <w:r>
              <w:rPr>
                <w:rFonts w:hint="eastAsia" w:ascii="宋体" w:hAnsi="宋体" w:eastAsia="宋体" w:cs="Arial"/>
                <w:color w:val="auto"/>
                <w:spacing w:val="-6"/>
                <w:sz w:val="21"/>
                <w:szCs w:val="21"/>
                <w:lang w:eastAsia="zh-CN"/>
              </w:rPr>
              <w:t>、</w:t>
            </w:r>
            <w:r>
              <w:rPr>
                <w:rFonts w:hint="eastAsia" w:ascii="宋体" w:hAnsi="宋体" w:cs="Arial"/>
                <w:color w:val="auto"/>
                <w:spacing w:val="-6"/>
                <w:sz w:val="21"/>
                <w:szCs w:val="21"/>
                <w:lang w:val="en-US" w:eastAsia="zh-CN"/>
              </w:rPr>
              <w:t>6.2、6.1.3、9.1.2、</w:t>
            </w:r>
            <w:r>
              <w:rPr>
                <w:rFonts w:hint="eastAsia" w:ascii="宋体" w:hAnsi="宋体" w:eastAsia="宋体" w:cs="Arial"/>
                <w:color w:val="auto"/>
                <w:spacing w:val="-6"/>
                <w:sz w:val="21"/>
                <w:szCs w:val="21"/>
              </w:rPr>
              <w:t>7.2</w:t>
            </w:r>
            <w:r>
              <w:rPr>
                <w:rFonts w:hint="eastAsia" w:ascii="宋体" w:hAnsi="宋体" w:eastAsia="宋体" w:cs="Arial"/>
                <w:color w:val="auto"/>
                <w:spacing w:val="-6"/>
                <w:sz w:val="21"/>
                <w:szCs w:val="21"/>
                <w:lang w:eastAsia="zh-CN"/>
              </w:rPr>
              <w:t>、</w:t>
            </w:r>
            <w:r>
              <w:rPr>
                <w:rFonts w:hint="eastAsia" w:ascii="宋体" w:hAnsi="宋体" w:eastAsia="宋体" w:cs="Arial"/>
                <w:color w:val="auto"/>
                <w:spacing w:val="-6"/>
                <w:sz w:val="21"/>
                <w:szCs w:val="21"/>
                <w:lang w:val="en-US" w:eastAsia="zh-CN"/>
              </w:rPr>
              <w:t>7.3、</w:t>
            </w:r>
            <w:r>
              <w:rPr>
                <w:rFonts w:hint="eastAsia" w:ascii="宋体" w:hAnsi="宋体" w:cs="Arial"/>
                <w:color w:val="auto"/>
                <w:spacing w:val="-6"/>
                <w:sz w:val="21"/>
                <w:szCs w:val="21"/>
                <w:lang w:val="en-US" w:eastAsia="zh-CN"/>
              </w:rPr>
              <w:t>7.5、</w:t>
            </w:r>
            <w:r>
              <w:rPr>
                <w:rFonts w:hint="eastAsia" w:ascii="宋体" w:hAnsi="宋体" w:eastAsia="宋体" w:cs="Arial"/>
                <w:color w:val="auto"/>
                <w:spacing w:val="-6"/>
                <w:sz w:val="21"/>
                <w:szCs w:val="21"/>
              </w:rPr>
              <w:t>8.1</w:t>
            </w:r>
            <w:r>
              <w:rPr>
                <w:rFonts w:hint="eastAsia" w:ascii="宋体" w:hAnsi="宋体" w:eastAsia="宋体" w:cs="Arial"/>
                <w:color w:val="auto"/>
                <w:spacing w:val="-6"/>
                <w:sz w:val="21"/>
                <w:szCs w:val="21"/>
                <w:lang w:eastAsia="zh-CN"/>
              </w:rPr>
              <w:t>、</w:t>
            </w:r>
            <w:r>
              <w:rPr>
                <w:rFonts w:hint="eastAsia" w:ascii="宋体" w:hAnsi="宋体" w:eastAsia="宋体" w:cs="Arial"/>
                <w:color w:val="auto"/>
                <w:spacing w:val="-6"/>
                <w:sz w:val="21"/>
                <w:szCs w:val="21"/>
              </w:rPr>
              <w:t>8.2</w:t>
            </w:r>
            <w:r>
              <w:rPr>
                <w:rFonts w:hint="eastAsia" w:ascii="宋体" w:hAnsi="宋体" w:cs="Arial"/>
                <w:color w:val="auto"/>
                <w:spacing w:val="-6"/>
                <w:sz w:val="21"/>
                <w:szCs w:val="21"/>
                <w:lang w:eastAsia="zh-CN"/>
              </w:rPr>
              <w:t>、</w:t>
            </w:r>
            <w:r>
              <w:rPr>
                <w:rFonts w:hint="eastAsia" w:ascii="宋体" w:hAnsi="宋体" w:eastAsia="宋体" w:cs="Arial"/>
                <w:color w:val="auto"/>
                <w:spacing w:val="-6"/>
                <w:sz w:val="21"/>
                <w:szCs w:val="21"/>
              </w:rPr>
              <w:t>9.2</w:t>
            </w:r>
            <w:r>
              <w:rPr>
                <w:rFonts w:hint="eastAsia" w:ascii="宋体" w:hAnsi="宋体" w:eastAsia="宋体" w:cs="Arial"/>
                <w:color w:val="auto"/>
                <w:spacing w:val="-6"/>
                <w:sz w:val="21"/>
                <w:szCs w:val="21"/>
                <w:lang w:eastAsia="zh-CN"/>
              </w:rPr>
              <w:t>、</w:t>
            </w:r>
            <w:r>
              <w:rPr>
                <w:rFonts w:hint="eastAsia" w:ascii="宋体" w:hAnsi="宋体" w:eastAsia="宋体" w:cs="Arial"/>
                <w:color w:val="auto"/>
                <w:spacing w:val="-6"/>
                <w:sz w:val="21"/>
                <w:szCs w:val="21"/>
              </w:rPr>
              <w:t>9.1.1</w:t>
            </w:r>
            <w:r>
              <w:rPr>
                <w:rFonts w:hint="eastAsia" w:ascii="宋体" w:hAnsi="宋体" w:eastAsia="宋体" w:cs="Arial"/>
                <w:color w:val="auto"/>
                <w:spacing w:val="-6"/>
                <w:sz w:val="21"/>
                <w:szCs w:val="21"/>
                <w:lang w:eastAsia="zh-CN"/>
              </w:rPr>
              <w:t>、</w:t>
            </w:r>
            <w:r>
              <w:rPr>
                <w:rFonts w:hint="eastAsia" w:ascii="宋体" w:hAnsi="宋体" w:cs="Arial"/>
                <w:color w:val="auto"/>
                <w:spacing w:val="-6"/>
                <w:sz w:val="21"/>
                <w:szCs w:val="21"/>
                <w:lang w:val="en-US" w:eastAsia="zh-CN"/>
              </w:rPr>
              <w:t>10.2</w:t>
            </w:r>
          </w:p>
        </w:tc>
        <w:tc>
          <w:tcPr>
            <w:tcW w:w="1585" w:type="dxa"/>
            <w:vMerge w:val="continue"/>
          </w:tcPr>
          <w:p>
            <w:pPr>
              <w:keepNext w:val="0"/>
              <w:keepLines w:val="0"/>
              <w:pageBreakBefore w:val="0"/>
              <w:widowControl w:val="0"/>
              <w:kinsoku/>
              <w:wordWrap/>
              <w:overflowPunct/>
              <w:topLinePunct w:val="0"/>
              <w:autoSpaceDE/>
              <w:autoSpaceDN/>
              <w:bidi w:val="0"/>
              <w:adjustRightInd/>
              <w:snapToGrid/>
              <w:spacing w:after="0" w:line="360" w:lineRule="auto"/>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ascii="Times New Roman" w:hAnsi="Times New Roman" w:eastAsia="宋体" w:cs="Times New Roman"/>
                <w:b/>
                <w:kern w:val="2"/>
                <w:sz w:val="21"/>
                <w:szCs w:val="21"/>
                <w:lang w:val="en-US" w:eastAsia="zh-CN" w:bidi="ar-SA"/>
              </w:rPr>
            </w:pPr>
            <w:r>
              <w:rPr>
                <w:rFonts w:hAnsi="宋体"/>
                <w:szCs w:val="21"/>
              </w:rPr>
              <w:t>组织的岗位、职责和权限</w:t>
            </w:r>
          </w:p>
        </w:tc>
        <w:tc>
          <w:tcPr>
            <w:tcW w:w="1149"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Times New Roman" w:hAnsi="Times New Roman" w:eastAsia="宋体" w:cs="Times New Roman"/>
                <w:kern w:val="2"/>
                <w:sz w:val="21"/>
                <w:szCs w:val="21"/>
                <w:lang w:val="en-US" w:eastAsia="zh-CN" w:bidi="ar-SA"/>
              </w:rPr>
            </w:pPr>
            <w:r>
              <w:rPr>
                <w:szCs w:val="21"/>
              </w:rPr>
              <w:t>QE 5.3</w:t>
            </w:r>
          </w:p>
        </w:tc>
        <w:tc>
          <w:tcPr>
            <w:tcW w:w="9815" w:type="dxa"/>
            <w:vAlign w:val="top"/>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hAnsi="宋体"/>
                <w:szCs w:val="21"/>
                <w:highlight w:val="none"/>
              </w:rPr>
            </w:pPr>
            <w:r>
              <w:rPr>
                <w:rFonts w:hint="eastAsia" w:hAnsi="宋体"/>
                <w:szCs w:val="21"/>
                <w:highlight w:val="none"/>
              </w:rPr>
              <w:t>行政部现有</w:t>
            </w:r>
            <w:r>
              <w:rPr>
                <w:rFonts w:hint="eastAsia" w:hAnsi="宋体"/>
                <w:szCs w:val="21"/>
                <w:highlight w:val="none"/>
                <w:lang w:val="en-US" w:eastAsia="zh-CN"/>
              </w:rPr>
              <w:t>1</w:t>
            </w:r>
            <w:r>
              <w:rPr>
                <w:rFonts w:hint="eastAsia" w:hAnsi="宋体"/>
                <w:szCs w:val="21"/>
                <w:highlight w:val="none"/>
              </w:rPr>
              <w:t>人</w:t>
            </w:r>
            <w:r>
              <w:rPr>
                <w:rFonts w:hint="eastAsia" w:hAnsi="宋体"/>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hAnsi="宋体"/>
                <w:szCs w:val="21"/>
                <w:highlight w:val="none"/>
              </w:rPr>
            </w:pPr>
            <w:r>
              <w:rPr>
                <w:rFonts w:hint="eastAsia" w:hAnsi="宋体"/>
                <w:szCs w:val="21"/>
                <w:highlight w:val="none"/>
              </w:rPr>
              <w:t>主要负责：人力资源</w:t>
            </w:r>
            <w:r>
              <w:rPr>
                <w:rFonts w:hint="eastAsia" w:hAnsi="宋体"/>
                <w:szCs w:val="21"/>
                <w:highlight w:val="none"/>
                <w:lang w:val="en-US" w:eastAsia="zh-CN"/>
              </w:rPr>
              <w:t>管理、</w:t>
            </w:r>
            <w:r>
              <w:rPr>
                <w:rFonts w:hint="eastAsia" w:hAnsi="宋体"/>
                <w:szCs w:val="21"/>
                <w:highlight w:val="none"/>
              </w:rPr>
              <w:t>后勤事务管理；</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hAnsi="宋体"/>
                <w:szCs w:val="21"/>
                <w:highlight w:val="none"/>
              </w:rPr>
            </w:pPr>
            <w:r>
              <w:rPr>
                <w:rFonts w:hint="eastAsia" w:hAnsi="宋体"/>
                <w:szCs w:val="21"/>
                <w:highlight w:val="none"/>
              </w:rPr>
              <w:t>环境因素识别和控制；</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hAnsi="宋体"/>
                <w:szCs w:val="21"/>
                <w:highlight w:val="none"/>
              </w:rPr>
            </w:pPr>
            <w:r>
              <w:rPr>
                <w:rFonts w:hint="eastAsia" w:hAnsi="宋体"/>
                <w:szCs w:val="21"/>
                <w:highlight w:val="none"/>
              </w:rPr>
              <w:t>体系运行检查、内审；</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eastAsia="宋体" w:cs="Times New Roman"/>
                <w:kern w:val="2"/>
                <w:sz w:val="21"/>
                <w:szCs w:val="22"/>
                <w:highlight w:val="none"/>
                <w:lang w:val="en-US" w:eastAsia="zh-CN" w:bidi="ar-SA"/>
              </w:rPr>
            </w:pPr>
            <w:r>
              <w:rPr>
                <w:rFonts w:hint="eastAsia" w:hAnsi="宋体"/>
                <w:szCs w:val="21"/>
                <w:highlight w:val="none"/>
              </w:rPr>
              <w:t>法律法规收集及合规性评价；应急准备和相应控制，不符合纠正与预防，事故事件调查处理等。</w:t>
            </w:r>
          </w:p>
        </w:tc>
        <w:tc>
          <w:tcPr>
            <w:tcW w:w="1585"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ascii="Times New Roman" w:hAnsi="Times New Roman" w:eastAsia="宋体" w:cs="Times New Roman"/>
                <w:kern w:val="2"/>
                <w:sz w:val="21"/>
                <w:szCs w:val="21"/>
                <w:lang w:val="en-US" w:eastAsia="zh-CN" w:bidi="ar-SA"/>
              </w:rPr>
            </w:pPr>
            <w:r>
              <w:rPr>
                <w:rFonts w:hAnsi="宋体"/>
                <w:szCs w:val="21"/>
              </w:rPr>
              <w:t>目标和方案</w:t>
            </w:r>
          </w:p>
        </w:tc>
        <w:tc>
          <w:tcPr>
            <w:tcW w:w="1149"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Times New Roman" w:hAnsi="Times New Roman" w:eastAsia="宋体" w:cs="Times New Roman"/>
                <w:kern w:val="2"/>
                <w:sz w:val="21"/>
                <w:szCs w:val="21"/>
                <w:lang w:val="en-US" w:eastAsia="zh-CN" w:bidi="ar-SA"/>
              </w:rPr>
            </w:pPr>
            <w:r>
              <w:rPr>
                <w:szCs w:val="21"/>
              </w:rPr>
              <w:t>QE 6.2</w:t>
            </w:r>
          </w:p>
        </w:tc>
        <w:tc>
          <w:tcPr>
            <w:tcW w:w="9815" w:type="dxa"/>
            <w:vAlign w:val="top"/>
          </w:tcPr>
          <w:p>
            <w:pPr>
              <w:pStyle w:val="3"/>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textAlignment w:val="auto"/>
              <w:rPr>
                <w:rFonts w:hint="default"/>
                <w:highlight w:val="none"/>
                <w:lang w:val="en-US" w:eastAsia="zh-CN"/>
              </w:rPr>
            </w:pPr>
            <w:r>
              <w:rPr>
                <w:rFonts w:hint="eastAsia"/>
                <w:highlight w:val="none"/>
                <w:lang w:val="en-US" w:eastAsia="zh-CN"/>
              </w:rPr>
              <w:t>通过“</w:t>
            </w:r>
            <w:r>
              <w:rPr>
                <w:rFonts w:hint="default"/>
                <w:highlight w:val="none"/>
                <w:lang w:val="en-US" w:eastAsia="zh-CN"/>
              </w:rPr>
              <w:t>目标实施措施表</w:t>
            </w:r>
            <w:r>
              <w:rPr>
                <w:rFonts w:hint="eastAsia"/>
                <w:highlight w:val="none"/>
                <w:lang w:val="en-US" w:eastAsia="zh-CN"/>
              </w:rPr>
              <w:t>”，对目标进行分解到各部门，查见行政部目标：</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textAlignment w:val="auto"/>
              <w:rPr>
                <w:rFonts w:hint="eastAsia"/>
                <w:highlight w:val="none"/>
              </w:rPr>
            </w:pPr>
            <w:r>
              <w:rPr>
                <w:rFonts w:hint="eastAsia"/>
                <w:highlight w:val="none"/>
              </w:rPr>
              <w:t>培训计划完成率</w:t>
            </w:r>
            <w:r>
              <w:rPr>
                <w:rFonts w:hint="eastAsia"/>
                <w:highlight w:val="none"/>
              </w:rPr>
              <w:tab/>
            </w:r>
            <w:r>
              <w:rPr>
                <w:rFonts w:hint="eastAsia"/>
                <w:highlight w:val="none"/>
              </w:rPr>
              <w:t>100%</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textAlignment w:val="auto"/>
              <w:rPr>
                <w:rFonts w:hint="eastAsia"/>
                <w:highlight w:val="none"/>
              </w:rPr>
            </w:pPr>
            <w:r>
              <w:rPr>
                <w:rFonts w:hint="eastAsia"/>
                <w:highlight w:val="none"/>
              </w:rPr>
              <w:t>岗位任职合格率</w:t>
            </w:r>
            <w:r>
              <w:rPr>
                <w:rFonts w:hint="eastAsia"/>
                <w:highlight w:val="none"/>
              </w:rPr>
              <w:tab/>
            </w:r>
            <w:r>
              <w:rPr>
                <w:rFonts w:hint="eastAsia"/>
                <w:highlight w:val="none"/>
              </w:rPr>
              <w:t>≥95%</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textAlignment w:val="auto"/>
              <w:rPr>
                <w:rFonts w:hint="eastAsia"/>
                <w:highlight w:val="none"/>
              </w:rPr>
            </w:pPr>
            <w:r>
              <w:rPr>
                <w:rFonts w:hint="eastAsia"/>
                <w:highlight w:val="none"/>
              </w:rPr>
              <w:t>固体废弃物分类处置率</w:t>
            </w:r>
            <w:r>
              <w:rPr>
                <w:rFonts w:hint="eastAsia"/>
                <w:highlight w:val="none"/>
              </w:rPr>
              <w:tab/>
            </w:r>
            <w:r>
              <w:rPr>
                <w:rFonts w:hint="eastAsia"/>
                <w:highlight w:val="none"/>
              </w:rPr>
              <w:t>100%</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textAlignment w:val="auto"/>
              <w:rPr>
                <w:rFonts w:hint="eastAsia"/>
                <w:highlight w:val="none"/>
              </w:rPr>
            </w:pPr>
            <w:r>
              <w:rPr>
                <w:rFonts w:hint="eastAsia"/>
                <w:highlight w:val="none"/>
              </w:rPr>
              <w:t>火灾、触电事故</w:t>
            </w:r>
            <w:r>
              <w:rPr>
                <w:rFonts w:hint="eastAsia"/>
                <w:highlight w:val="none"/>
              </w:rPr>
              <w:tab/>
            </w:r>
            <w:r>
              <w:rPr>
                <w:rFonts w:hint="eastAsia"/>
                <w:highlight w:val="none"/>
              </w:rPr>
              <w:t>0</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textAlignment w:val="auto"/>
              <w:rPr>
                <w:rFonts w:hint="eastAsia"/>
                <w:highlight w:val="none"/>
                <w:lang w:val="en-US" w:eastAsia="zh-CN"/>
              </w:rPr>
            </w:pPr>
            <w:r>
              <w:rPr>
                <w:rFonts w:hint="eastAsia"/>
                <w:highlight w:val="none"/>
                <w:lang w:val="en-US" w:eastAsia="zh-CN"/>
              </w:rPr>
              <w:t>制定“</w:t>
            </w:r>
            <w:r>
              <w:rPr>
                <w:rFonts w:hint="default"/>
                <w:highlight w:val="none"/>
                <w:lang w:val="en-US" w:eastAsia="zh-CN"/>
              </w:rPr>
              <w:t>目标实施措施表</w:t>
            </w:r>
            <w:r>
              <w:rPr>
                <w:rFonts w:hint="eastAsia"/>
                <w:highlight w:val="none"/>
                <w:lang w:val="en-US" w:eastAsia="zh-CN"/>
              </w:rPr>
              <w:t>”，对目标实现措施进行了策划；</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eastAsia="宋体" w:cs="Times New Roman"/>
                <w:kern w:val="2"/>
                <w:sz w:val="21"/>
                <w:szCs w:val="22"/>
                <w:highlight w:val="none"/>
                <w:lang w:val="en-US" w:eastAsia="zh-CN" w:bidi="ar-SA"/>
              </w:rPr>
            </w:pPr>
            <w:r>
              <w:rPr>
                <w:rFonts w:hint="eastAsia"/>
                <w:highlight w:val="none"/>
                <w:lang w:val="en-US" w:eastAsia="zh-CN"/>
              </w:rPr>
              <w:t>“目标考核记录表”显示对目标完成情况进行了季度考核，均完成.</w:t>
            </w:r>
          </w:p>
        </w:tc>
        <w:tc>
          <w:tcPr>
            <w:tcW w:w="1585"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ascii="Times New Roman" w:hAnsi="宋体" w:eastAsia="宋体" w:cs="Times New Roman"/>
                <w:kern w:val="2"/>
                <w:sz w:val="21"/>
                <w:szCs w:val="21"/>
                <w:lang w:val="en-US" w:eastAsia="zh-CN" w:bidi="ar-SA"/>
              </w:rPr>
            </w:pPr>
            <w:r>
              <w:rPr>
                <w:rFonts w:hint="eastAsia" w:hAnsi="宋体"/>
                <w:szCs w:val="21"/>
              </w:rPr>
              <w:t>环境因素的辨识与风险和机遇评价、措施的策划</w:t>
            </w:r>
          </w:p>
        </w:tc>
        <w:tc>
          <w:tcPr>
            <w:tcW w:w="1149"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hAnsi="宋体"/>
                <w:szCs w:val="21"/>
              </w:rPr>
            </w:pPr>
            <w:r>
              <w:rPr>
                <w:rFonts w:hint="eastAsia" w:hAnsi="宋体"/>
                <w:szCs w:val="21"/>
              </w:rPr>
              <w:t>QE:6.1.2</w:t>
            </w: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Times New Roman" w:hAnsi="Times New Roman" w:eastAsia="宋体" w:cs="Times New Roman"/>
                <w:kern w:val="2"/>
                <w:sz w:val="21"/>
                <w:szCs w:val="21"/>
                <w:lang w:val="en-US" w:eastAsia="zh-CN" w:bidi="ar-SA"/>
              </w:rPr>
            </w:pPr>
            <w:r>
              <w:rPr>
                <w:rFonts w:hint="eastAsia" w:hAnsi="宋体"/>
                <w:szCs w:val="21"/>
              </w:rPr>
              <w:t>6.1.4</w:t>
            </w:r>
          </w:p>
        </w:tc>
        <w:tc>
          <w:tcPr>
            <w:tcW w:w="9815" w:type="dxa"/>
            <w:vAlign w:val="top"/>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查见“环境因素和危险源识别评价与控制程序”，有效文件；</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highlight w:val="none"/>
                <w:lang w:val="en-US" w:eastAsia="zh-CN"/>
              </w:rPr>
            </w:pPr>
            <w:r>
              <w:rPr>
                <w:rFonts w:hint="eastAsia"/>
                <w:highlight w:val="none"/>
                <w:lang w:val="en-US" w:eastAsia="zh-CN"/>
              </w:rPr>
              <w:t>查见“环境因素辨识和评价表”，对办公区域进行辨识和评价。见有辨识办公活动能源使用、厨房、仓储等33项；考虑了生命周期观点，基本合理。</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highlight w:val="none"/>
                <w:lang w:val="en-US" w:eastAsia="zh-CN"/>
              </w:rPr>
            </w:pPr>
            <w:r>
              <w:rPr>
                <w:rFonts w:hint="eastAsia"/>
                <w:highlight w:val="none"/>
                <w:lang w:val="en-US" w:eastAsia="zh-CN"/>
              </w:rPr>
              <w:t>打分法评价，查见“重要环境因素清单”，明确了潜在火灾、能源消耗、固废排放等环境因素为重要环境因素。</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公司通过制定目标、管理方案、应急预案、日常检查与控制等方法，对环境因素进行控制。针对重要环境因素，制定有“环境管理目标、指标及其管理方案一览表”，明确了指标、方法、措施/技术手段、责任部门、检查部门、日常运行控制部门等.</w:t>
            </w:r>
          </w:p>
        </w:tc>
        <w:tc>
          <w:tcPr>
            <w:tcW w:w="1585"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lang w:val="en-US" w:eastAsia="zh-CN"/>
              </w:rPr>
            </w:pPr>
            <w:r>
              <w:rPr>
                <w:rFonts w:hint="eastAsia"/>
                <w:lang w:val="en-US" w:eastAsia="zh-CN"/>
              </w:rPr>
              <w:t>人员/资源</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jc w:val="center"/>
              <w:textAlignment w:val="auto"/>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能力</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jc w:val="center"/>
              <w:textAlignment w:val="auto"/>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意识</w:t>
            </w:r>
          </w:p>
        </w:tc>
        <w:tc>
          <w:tcPr>
            <w:tcW w:w="1149"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lang w:val="en-US" w:eastAsia="zh-CN"/>
              </w:rPr>
            </w:pPr>
            <w:r>
              <w:rPr>
                <w:rFonts w:hint="eastAsia"/>
                <w:lang w:val="en-US" w:eastAsia="zh-CN"/>
              </w:rPr>
              <w:t>Q:7.1.2</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lang w:val="en-US" w:eastAsia="zh-CN"/>
              </w:rPr>
            </w:pPr>
            <w:r>
              <w:rPr>
                <w:rFonts w:hint="eastAsia"/>
                <w:lang w:val="en-US" w:eastAsia="zh-CN"/>
              </w:rPr>
              <w:t>QE:7.1</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lang w:val="en-US" w:eastAsia="zh-CN"/>
              </w:rPr>
            </w:pPr>
            <w:r>
              <w:rPr>
                <w:rFonts w:hint="eastAsia"/>
                <w:lang w:val="en-US" w:eastAsia="zh-CN"/>
              </w:rPr>
              <w:t>7.2</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default"/>
                <w:lang w:val="en-US" w:eastAsia="zh-CN"/>
              </w:rPr>
            </w:pPr>
            <w:r>
              <w:rPr>
                <w:rFonts w:hint="eastAsia"/>
                <w:lang w:val="en-US" w:eastAsia="zh-CN"/>
              </w:rPr>
              <w:t>7.3</w:t>
            </w:r>
          </w:p>
        </w:tc>
        <w:tc>
          <w:tcPr>
            <w:tcW w:w="9815" w:type="dxa"/>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highlight w:val="none"/>
                <w:lang w:val="en-US" w:eastAsia="zh-CN"/>
              </w:rPr>
            </w:pPr>
            <w:r>
              <w:rPr>
                <w:rFonts w:hint="eastAsia"/>
                <w:highlight w:val="none"/>
                <w:lang w:val="en-US" w:eastAsia="zh-CN"/>
              </w:rPr>
              <w:t>编制执行《人力资源控制程序》，有效文件；</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eastAsia="宋体" w:cs="Times New Roman"/>
                <w:szCs w:val="22"/>
                <w:highlight w:val="none"/>
                <w:lang w:val="zh-CN"/>
              </w:rPr>
            </w:pPr>
            <w:r>
              <w:rPr>
                <w:rFonts w:hint="eastAsia" w:ascii="Times New Roman" w:hAnsi="Times New Roman" w:eastAsia="宋体" w:cs="Times New Roman"/>
                <w:szCs w:val="22"/>
                <w:highlight w:val="none"/>
                <w:lang w:val="zh-CN"/>
              </w:rPr>
              <w:t>公司现有员工</w:t>
            </w:r>
            <w:r>
              <w:rPr>
                <w:rFonts w:hint="eastAsia" w:ascii="Times New Roman" w:hAnsi="Times New Roman" w:eastAsia="宋体" w:cs="Times New Roman"/>
                <w:szCs w:val="22"/>
                <w:highlight w:val="none"/>
                <w:lang w:val="en-US" w:eastAsia="zh-CN"/>
              </w:rPr>
              <w:t>20</w:t>
            </w:r>
            <w:r>
              <w:rPr>
                <w:rFonts w:hint="eastAsia" w:ascii="Times New Roman" w:hAnsi="Times New Roman" w:eastAsia="宋体" w:cs="Times New Roman"/>
                <w:szCs w:val="22"/>
                <w:highlight w:val="none"/>
                <w:lang w:val="zh-CN"/>
              </w:rPr>
              <w:t>人，</w:t>
            </w:r>
            <w:r>
              <w:rPr>
                <w:rFonts w:hint="eastAsia" w:ascii="Times New Roman" w:hAnsi="Times New Roman" w:eastAsia="宋体" w:cs="Times New Roman"/>
                <w:szCs w:val="22"/>
                <w:highlight w:val="none"/>
                <w:lang w:val="en-US" w:eastAsia="zh-CN"/>
              </w:rPr>
              <w:t>厨务人员持证上岗</w:t>
            </w:r>
            <w:r>
              <w:rPr>
                <w:rFonts w:hint="eastAsia" w:ascii="Times New Roman" w:hAnsi="Times New Roman" w:eastAsia="宋体" w:cs="Times New Roman"/>
                <w:szCs w:val="22"/>
                <w:highlight w:val="none"/>
                <w:lang w:val="zh-CN"/>
              </w:rPr>
              <w:t>；</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查见人员证书：</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刘XX——预防性健康体检合格证，2022.5.12，赣州市南康区疾病预防控制中心，有效；</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color w:val="auto"/>
                <w:highlight w:val="none"/>
                <w:lang w:val="en-US" w:eastAsia="zh-CN"/>
              </w:rPr>
            </w:pPr>
            <w:r>
              <w:rPr>
                <w:rFonts w:hint="eastAsia" w:ascii="Times New Roman" w:hAnsi="Times New Roman" w:cs="Times New Roman" w:eastAsiaTheme="minorEastAsia"/>
                <w:color w:val="auto"/>
                <w:sz w:val="21"/>
                <w:szCs w:val="21"/>
                <w:highlight w:val="none"/>
                <w:lang w:val="en-US" w:eastAsia="zh-CN"/>
              </w:rPr>
              <w:t>罗XX——预防性健康体检合格证，2022.5.12，赣州市南康区疾病预防控制中心，有效；</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color w:val="auto"/>
                <w:highlight w:val="none"/>
                <w:lang w:val="en-US" w:eastAsia="zh-CN"/>
              </w:rPr>
            </w:pPr>
            <w:r>
              <w:rPr>
                <w:rFonts w:hint="eastAsia" w:ascii="Times New Roman" w:hAnsi="Times New Roman" w:cs="Times New Roman" w:eastAsiaTheme="minorEastAsia"/>
                <w:color w:val="auto"/>
                <w:sz w:val="21"/>
                <w:szCs w:val="21"/>
                <w:highlight w:val="none"/>
                <w:lang w:val="en-US" w:eastAsia="zh-CN"/>
              </w:rPr>
              <w:t>李XX——预防性健康体检合格证，2022.5.12，赣州市南康区疾病预防控制中心，有效；</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cs="Times New Roman" w:eastAsiaTheme="minorEastAsia"/>
                <w:sz w:val="21"/>
                <w:szCs w:val="21"/>
                <w:highlight w:val="none"/>
                <w:lang w:val="en-US" w:eastAsia="zh-CN"/>
              </w:rPr>
            </w:pPr>
            <w:r>
              <w:rPr>
                <w:rFonts w:hint="eastAsia"/>
                <w:highlight w:val="none"/>
                <w:lang w:val="en-US" w:eastAsia="zh-CN"/>
              </w:rPr>
              <w:t>查见“2021年度培训计划”，</w:t>
            </w:r>
            <w:r>
              <w:rPr>
                <w:rFonts w:hint="default" w:ascii="Times New Roman" w:hAnsi="Times New Roman" w:cs="Times New Roman" w:eastAsiaTheme="minorEastAsia"/>
                <w:sz w:val="21"/>
                <w:szCs w:val="21"/>
                <w:highlight w:val="none"/>
                <w:lang w:val="en-US" w:eastAsia="zh-CN"/>
              </w:rPr>
              <w:t>计划开展管理手册、程序文件、目标及方案、岗位技能培训等1</w:t>
            </w:r>
            <w:r>
              <w:rPr>
                <w:rFonts w:hint="eastAsia" w:cs="Times New Roman" w:eastAsiaTheme="minorEastAsia"/>
                <w:sz w:val="21"/>
                <w:szCs w:val="21"/>
                <w:highlight w:val="none"/>
                <w:lang w:val="en-US" w:eastAsia="zh-CN"/>
              </w:rPr>
              <w:t>3</w:t>
            </w:r>
            <w:r>
              <w:rPr>
                <w:rFonts w:hint="default" w:ascii="Times New Roman" w:hAnsi="Times New Roman" w:cs="Times New Roman" w:eastAsiaTheme="minorEastAsia"/>
                <w:sz w:val="21"/>
                <w:szCs w:val="21"/>
                <w:highlight w:val="none"/>
                <w:lang w:val="en-US" w:eastAsia="zh-CN"/>
              </w:rPr>
              <w:t>项次；</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查</w:t>
            </w:r>
            <w:r>
              <w:rPr>
                <w:rFonts w:hint="eastAsia" w:cs="Times New Roman" w:eastAsiaTheme="minorEastAsia"/>
                <w:color w:val="auto"/>
                <w:sz w:val="21"/>
                <w:szCs w:val="21"/>
                <w:highlight w:val="none"/>
                <w:lang w:val="en-US" w:eastAsia="zh-CN"/>
              </w:rPr>
              <w:t>“</w:t>
            </w:r>
            <w:r>
              <w:rPr>
                <w:rFonts w:hint="default" w:ascii="Times New Roman" w:hAnsi="Times New Roman" w:cs="Times New Roman" w:eastAsiaTheme="minorEastAsia"/>
                <w:color w:val="auto"/>
                <w:sz w:val="21"/>
                <w:szCs w:val="21"/>
                <w:highlight w:val="none"/>
                <w:lang w:val="en-US" w:eastAsia="zh-CN"/>
              </w:rPr>
              <w:t>培训记录及培训效果评价表</w:t>
            </w:r>
            <w:r>
              <w:rPr>
                <w:rFonts w:hint="eastAsia" w:cs="Times New Roman" w:eastAsiaTheme="minorEastAsia"/>
                <w:color w:val="auto"/>
                <w:sz w:val="21"/>
                <w:szCs w:val="21"/>
                <w:highlight w:val="none"/>
                <w:lang w:val="en-US" w:eastAsia="zh-CN"/>
              </w:rPr>
              <w:t>”</w:t>
            </w:r>
            <w:r>
              <w:rPr>
                <w:rFonts w:hint="default" w:ascii="Times New Roman" w:hAnsi="Times New Roman" w:cs="Times New Roman" w:eastAsiaTheme="minorEastAsia"/>
                <w:color w:val="auto"/>
                <w:sz w:val="21"/>
                <w:szCs w:val="21"/>
                <w:highlight w:val="none"/>
                <w:lang w:val="en-US" w:eastAsia="zh-CN"/>
              </w:rPr>
              <w:t>，抽见：</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ISO19001：2015、ISO14001：2015标准知识、概念培训</w:t>
            </w:r>
            <w:r>
              <w:rPr>
                <w:rFonts w:hint="eastAsia" w:ascii="Times New Roman" w:hAnsi="Times New Roman" w:cs="Times New Roman" w:eastAsiaTheme="minorEastAsia"/>
                <w:color w:val="auto"/>
                <w:sz w:val="21"/>
                <w:szCs w:val="21"/>
                <w:highlight w:val="none"/>
                <w:lang w:val="en-US" w:eastAsia="zh-CN"/>
              </w:rPr>
              <w:t>——</w:t>
            </w:r>
            <w:r>
              <w:rPr>
                <w:rFonts w:hint="default" w:ascii="Times New Roman" w:hAnsi="Times New Roman" w:cs="Times New Roman" w:eastAsiaTheme="minorEastAsia"/>
                <w:color w:val="auto"/>
                <w:sz w:val="21"/>
                <w:szCs w:val="21"/>
                <w:highlight w:val="none"/>
                <w:lang w:val="en-US" w:eastAsia="zh-CN"/>
              </w:rPr>
              <w:t>2021.3.20</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地方法律法规的培训</w:t>
            </w:r>
            <w:r>
              <w:rPr>
                <w:rFonts w:hint="eastAsia" w:ascii="Times New Roman" w:hAnsi="Times New Roman" w:cs="Times New Roman" w:eastAsiaTheme="minorEastAsia"/>
                <w:color w:val="auto"/>
                <w:sz w:val="21"/>
                <w:szCs w:val="21"/>
                <w:highlight w:val="none"/>
                <w:lang w:val="en-US" w:eastAsia="zh-CN"/>
              </w:rPr>
              <w:t>——</w:t>
            </w:r>
            <w:r>
              <w:rPr>
                <w:rFonts w:hint="default" w:ascii="Times New Roman" w:hAnsi="Times New Roman" w:cs="Times New Roman" w:eastAsiaTheme="minorEastAsia"/>
                <w:color w:val="auto"/>
                <w:sz w:val="21"/>
                <w:szCs w:val="21"/>
                <w:highlight w:val="none"/>
                <w:lang w:val="en-US" w:eastAsia="zh-CN"/>
              </w:rPr>
              <w:t>2021.4.18</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岗位技能培训</w:t>
            </w:r>
            <w:r>
              <w:rPr>
                <w:rFonts w:hint="eastAsia" w:ascii="Times New Roman" w:hAnsi="Times New Roman" w:cs="Times New Roman" w:eastAsiaTheme="minorEastAsia"/>
                <w:color w:val="auto"/>
                <w:sz w:val="21"/>
                <w:szCs w:val="21"/>
                <w:highlight w:val="none"/>
                <w:lang w:val="en-US" w:eastAsia="zh-CN"/>
              </w:rPr>
              <w:t>——</w:t>
            </w:r>
            <w:r>
              <w:rPr>
                <w:rFonts w:hint="default" w:ascii="Times New Roman" w:hAnsi="Times New Roman" w:cs="Times New Roman" w:eastAsiaTheme="minorEastAsia"/>
                <w:color w:val="auto"/>
                <w:sz w:val="21"/>
                <w:szCs w:val="21"/>
                <w:highlight w:val="none"/>
                <w:lang w:val="en-US" w:eastAsia="zh-CN"/>
              </w:rPr>
              <w:t>2021.7.22</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考核及评价记录显示以口头问答的方式对培训效果进行了评价，培训达到预期的目的。</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意识：</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经与部门负责人沟通交流，主要通过培训提高岗位作业水平和质量、环保、安全意识，询问部分员工，他们对公司的管理方针、管理目标、对质量</w:t>
            </w:r>
            <w:r>
              <w:rPr>
                <w:rFonts w:hint="eastAsia" w:ascii="Times New Roman" w:hAnsi="Times New Roman" w:cs="Times New Roman" w:eastAsiaTheme="minorEastAsia"/>
                <w:sz w:val="21"/>
                <w:szCs w:val="21"/>
                <w:highlight w:val="none"/>
                <w:lang w:val="en-US" w:eastAsia="zh-CN"/>
              </w:rPr>
              <w:t>/</w:t>
            </w:r>
            <w:r>
              <w:rPr>
                <w:rFonts w:hint="default" w:ascii="Times New Roman" w:hAnsi="Times New Roman" w:cs="Times New Roman" w:eastAsiaTheme="minorEastAsia"/>
                <w:sz w:val="21"/>
                <w:szCs w:val="21"/>
                <w:highlight w:val="none"/>
                <w:lang w:val="en-US" w:eastAsia="zh-CN"/>
              </w:rPr>
              <w:t>环境管理体系有效性的贡献，包括提高效率、技能、改进工艺和恪尽职守带来的无论是产品质量的提高亦或成本降低、节能减排、保护员工健康等的益处，以及因自己岗位职责疏忽带来不符合给公司产品及公司商誉、环境安全承诺带来的后果。</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员工能明确自身职责及岗位要求，自身工作影响，如何提高产品质量、减少环境污染，员工人身安全意识等。</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highlight w:val="none"/>
                <w:lang w:val="en-US" w:eastAsia="zh-CN"/>
              </w:rPr>
            </w:pPr>
            <w:r>
              <w:rPr>
                <w:rFonts w:hint="default" w:ascii="Times New Roman" w:hAnsi="Times New Roman" w:cs="Times New Roman" w:eastAsiaTheme="minorEastAsia"/>
                <w:sz w:val="21"/>
                <w:szCs w:val="21"/>
                <w:highlight w:val="none"/>
                <w:lang w:val="en-US" w:eastAsia="zh-CN"/>
              </w:rPr>
              <w:t>基本能满足要求。</w:t>
            </w:r>
          </w:p>
        </w:tc>
        <w:tc>
          <w:tcPr>
            <w:tcW w:w="1585" w:type="dxa"/>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vAlign w:val="center"/>
          </w:tcPr>
          <w:p>
            <w:pPr>
              <w:keepNext w:val="0"/>
              <w:keepLines w:val="0"/>
              <w:pageBreakBefore w:val="0"/>
              <w:widowControl w:val="0"/>
              <w:kinsoku/>
              <w:wordWrap/>
              <w:overflowPunct/>
              <w:topLinePunct w:val="0"/>
              <w:autoSpaceDE/>
              <w:autoSpaceDN/>
              <w:bidi w:val="0"/>
              <w:spacing w:after="0" w:line="360" w:lineRule="auto"/>
              <w:jc w:val="center"/>
              <w:rPr>
                <w:rFonts w:hint="eastAsia" w:ascii="Times New Roman" w:hAnsi="Times New Roman" w:eastAsia="宋体" w:cs="Times New Roman"/>
                <w:kern w:val="2"/>
                <w:sz w:val="21"/>
                <w:szCs w:val="21"/>
                <w:lang w:val="en-US" w:eastAsia="zh-CN" w:bidi="ar-SA"/>
              </w:rPr>
            </w:pPr>
            <w:r>
              <w:rPr>
                <w:rFonts w:hAnsi="宋体"/>
                <w:szCs w:val="21"/>
              </w:rPr>
              <w:t>组织知识</w:t>
            </w:r>
          </w:p>
        </w:tc>
        <w:tc>
          <w:tcPr>
            <w:tcW w:w="1149" w:type="dxa"/>
            <w:vAlign w:val="center"/>
          </w:tcPr>
          <w:p>
            <w:pPr>
              <w:keepNext w:val="0"/>
              <w:keepLines w:val="0"/>
              <w:pageBreakBefore w:val="0"/>
              <w:widowControl w:val="0"/>
              <w:kinsoku/>
              <w:wordWrap/>
              <w:overflowPunct/>
              <w:topLinePunct w:val="0"/>
              <w:autoSpaceDE/>
              <w:autoSpaceDN/>
              <w:bidi w:val="0"/>
              <w:spacing w:after="0" w:line="360" w:lineRule="auto"/>
              <w:jc w:val="center"/>
              <w:rPr>
                <w:rFonts w:hint="eastAsia" w:ascii="Times New Roman" w:hAnsi="Times New Roman" w:eastAsia="宋体" w:cs="Times New Roman"/>
                <w:kern w:val="2"/>
                <w:sz w:val="21"/>
                <w:szCs w:val="21"/>
                <w:lang w:val="en-US" w:eastAsia="zh-CN" w:bidi="ar-SA"/>
              </w:rPr>
            </w:pPr>
            <w:r>
              <w:rPr>
                <w:rFonts w:hint="eastAsia" w:ascii="宋体" w:hAnsi="宋体" w:eastAsia="宋体" w:cs="Arial"/>
                <w:color w:val="auto"/>
                <w:spacing w:val="-6"/>
                <w:kern w:val="2"/>
                <w:sz w:val="21"/>
                <w:szCs w:val="21"/>
                <w:lang w:val="en-US" w:eastAsia="zh-CN" w:bidi="ar-SA"/>
              </w:rPr>
              <w:t>Q</w:t>
            </w:r>
            <w:r>
              <w:rPr>
                <w:rFonts w:hint="eastAsia" w:ascii="宋体" w:hAnsi="宋体" w:cs="Arial"/>
                <w:color w:val="auto"/>
                <w:spacing w:val="-6"/>
                <w:kern w:val="2"/>
                <w:sz w:val="21"/>
                <w:szCs w:val="21"/>
                <w:lang w:val="en-US" w:eastAsia="zh-CN" w:bidi="ar-SA"/>
              </w:rPr>
              <w:t>:</w:t>
            </w:r>
            <w:r>
              <w:rPr>
                <w:rFonts w:hint="eastAsia" w:ascii="宋体" w:hAnsi="宋体" w:eastAsia="宋体" w:cs="Arial"/>
                <w:color w:val="auto"/>
                <w:spacing w:val="-6"/>
                <w:kern w:val="2"/>
                <w:sz w:val="21"/>
                <w:szCs w:val="21"/>
                <w:lang w:val="en-US" w:eastAsia="zh-CN" w:bidi="ar-SA"/>
              </w:rPr>
              <w:t>7.1.6</w:t>
            </w:r>
          </w:p>
        </w:tc>
        <w:tc>
          <w:tcPr>
            <w:tcW w:w="9815" w:type="dxa"/>
            <w:vAlign w:val="top"/>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公司各部门按照职责从内外部各种渠道获得与其职责相关所需的知识，包括操作规程、管理技巧与经验、失败和事故的案例分析、科研成果、商标等；把知识形成各种规章制度用于指导公司的日常工作和管理，包括体系文件、支持性文件、各种记录表单。</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从内部来源获取的有：多年的工作经验、教训、内部的知识产权等；</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外部来源获取有：标杆对比、行业会议、客户技术要求、咨询老师传授的体系知识及所实施的内审员的培训；顾客方提供的资料等。</w:t>
            </w:r>
          </w:p>
          <w:p>
            <w:pPr>
              <w:keepNext w:val="0"/>
              <w:keepLines w:val="0"/>
              <w:pageBreakBefore w:val="0"/>
              <w:widowControl w:val="0"/>
              <w:kinsoku/>
              <w:wordWrap/>
              <w:overflowPunct/>
              <w:topLinePunct w:val="0"/>
              <w:autoSpaceDE/>
              <w:autoSpaceDN/>
              <w:bidi w:val="0"/>
              <w:spacing w:after="0" w:line="360" w:lineRule="auto"/>
              <w:ind w:firstLine="420" w:firstLineChars="200"/>
              <w:rPr>
                <w:rFonts w:hint="eastAsia" w:ascii="Times New Roman" w:hAnsi="Times New Roman" w:eastAsia="宋体" w:cs="Times New Roman"/>
                <w:kern w:val="2"/>
                <w:sz w:val="21"/>
                <w:szCs w:val="22"/>
                <w:highlight w:val="none"/>
                <w:lang w:val="en-US" w:eastAsia="zh-CN" w:bidi="ar-SA"/>
              </w:rPr>
            </w:pPr>
            <w:r>
              <w:rPr>
                <w:rFonts w:hint="default" w:ascii="Times New Roman" w:hAnsi="Times New Roman" w:cs="Times New Roman" w:eastAsiaTheme="minorEastAsia"/>
                <w:sz w:val="21"/>
                <w:szCs w:val="21"/>
                <w:highlight w:val="none"/>
                <w:lang w:val="en-US" w:eastAsia="zh-CN"/>
              </w:rPr>
              <w:t>在应对变化的需求和趋势时，相关部门考虑现有的知识，确定如何获取更多的必要的额外知识，并根据变化的情况及时更新。</w:t>
            </w:r>
          </w:p>
        </w:tc>
        <w:tc>
          <w:tcPr>
            <w:tcW w:w="1585" w:type="dxa"/>
            <w:vAlign w:val="top"/>
          </w:tcPr>
          <w:p>
            <w:pPr>
              <w:keepNext w:val="0"/>
              <w:keepLines w:val="0"/>
              <w:pageBreakBefore w:val="0"/>
              <w:widowControl w:val="0"/>
              <w:kinsoku/>
              <w:wordWrap/>
              <w:overflowPunct/>
              <w:topLinePunct w:val="0"/>
              <w:autoSpaceDE/>
              <w:autoSpaceDN/>
              <w:bidi w:val="0"/>
              <w:spacing w:after="0" w:line="360" w:lineRule="auto"/>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vAlign w:val="center"/>
          </w:tcPr>
          <w:p>
            <w:pPr>
              <w:keepNext w:val="0"/>
              <w:keepLines w:val="0"/>
              <w:pageBreakBefore w:val="0"/>
              <w:widowControl w:val="0"/>
              <w:kinsoku/>
              <w:wordWrap/>
              <w:overflowPunct/>
              <w:topLinePunct w:val="0"/>
              <w:autoSpaceDE/>
              <w:autoSpaceDN/>
              <w:bidi w:val="0"/>
              <w:spacing w:after="0" w:line="360" w:lineRule="auto"/>
              <w:jc w:val="center"/>
              <w:rPr>
                <w:rFonts w:hint="eastAsia" w:ascii="Times New Roman" w:hAnsi="Times New Roman" w:eastAsia="宋体" w:cs="Times New Roman"/>
                <w:kern w:val="2"/>
                <w:sz w:val="21"/>
                <w:szCs w:val="21"/>
                <w:lang w:val="en-US" w:eastAsia="zh-CN" w:bidi="ar-SA"/>
              </w:rPr>
            </w:pPr>
            <w:r>
              <w:rPr>
                <w:rFonts w:hAnsi="宋体"/>
                <w:szCs w:val="21"/>
              </w:rPr>
              <w:t>形成文件的信息</w:t>
            </w:r>
          </w:p>
        </w:tc>
        <w:tc>
          <w:tcPr>
            <w:tcW w:w="1149" w:type="dxa"/>
            <w:vAlign w:val="center"/>
          </w:tcPr>
          <w:p>
            <w:pPr>
              <w:keepNext w:val="0"/>
              <w:keepLines w:val="0"/>
              <w:pageBreakBefore w:val="0"/>
              <w:widowControl w:val="0"/>
              <w:kinsoku/>
              <w:wordWrap/>
              <w:overflowPunct/>
              <w:topLinePunct w:val="0"/>
              <w:autoSpaceDE/>
              <w:autoSpaceDN/>
              <w:bidi w:val="0"/>
              <w:spacing w:after="0" w:line="360" w:lineRule="auto"/>
              <w:jc w:val="center"/>
              <w:rPr>
                <w:rFonts w:hint="eastAsia" w:ascii="Times New Roman" w:hAnsi="Times New Roman" w:eastAsia="宋体" w:cs="Times New Roman"/>
                <w:kern w:val="2"/>
                <w:sz w:val="21"/>
                <w:szCs w:val="21"/>
                <w:lang w:val="en-US" w:eastAsia="zh-CN" w:bidi="ar-SA"/>
              </w:rPr>
            </w:pPr>
            <w:r>
              <w:rPr>
                <w:rFonts w:hint="eastAsia" w:ascii="宋体" w:hAnsi="宋体" w:eastAsia="宋体" w:cs="Arial"/>
                <w:color w:val="auto"/>
                <w:spacing w:val="-6"/>
                <w:kern w:val="2"/>
                <w:sz w:val="21"/>
                <w:szCs w:val="21"/>
                <w:lang w:val="en-US" w:eastAsia="zh-CN" w:bidi="ar-SA"/>
              </w:rPr>
              <w:t>QE:7.5</w:t>
            </w:r>
          </w:p>
        </w:tc>
        <w:tc>
          <w:tcPr>
            <w:tcW w:w="9815" w:type="dxa"/>
            <w:vAlign w:val="top"/>
          </w:tcPr>
          <w:p>
            <w:pPr>
              <w:keepNext w:val="0"/>
              <w:keepLines w:val="0"/>
              <w:pageBreakBefore w:val="0"/>
              <w:widowControl w:val="0"/>
              <w:kinsoku/>
              <w:wordWrap/>
              <w:overflowPunct/>
              <w:topLinePunct w:val="0"/>
              <w:autoSpaceDE/>
              <w:autoSpaceDN/>
              <w:bidi w:val="0"/>
              <w:spacing w:after="0" w:line="360" w:lineRule="auto"/>
              <w:ind w:firstLine="420" w:firstLineChars="200"/>
              <w:rPr>
                <w:rFonts w:hint="eastAsia"/>
                <w:highlight w:val="none"/>
                <w:lang w:val="en-US" w:eastAsia="zh-CN"/>
              </w:rPr>
            </w:pPr>
            <w:r>
              <w:rPr>
                <w:rFonts w:hint="eastAsia"/>
                <w:highlight w:val="none"/>
                <w:lang w:val="en-US" w:eastAsia="zh-CN"/>
              </w:rPr>
              <w:t>体系文件包括：</w:t>
            </w:r>
          </w:p>
          <w:p>
            <w:pPr>
              <w:keepNext w:val="0"/>
              <w:keepLines w:val="0"/>
              <w:pageBreakBefore w:val="0"/>
              <w:widowControl w:val="0"/>
              <w:kinsoku/>
              <w:wordWrap/>
              <w:overflowPunct/>
              <w:topLinePunct w:val="0"/>
              <w:autoSpaceDE/>
              <w:autoSpaceDN/>
              <w:bidi w:val="0"/>
              <w:spacing w:after="0" w:line="360" w:lineRule="auto"/>
              <w:ind w:firstLine="420" w:firstLineChars="200"/>
              <w:rPr>
                <w:rFonts w:hint="eastAsia"/>
                <w:highlight w:val="none"/>
              </w:rPr>
            </w:pPr>
            <w:r>
              <w:rPr>
                <w:rFonts w:hint="eastAsia"/>
                <w:highlight w:val="none"/>
                <w:lang w:val="en-US" w:eastAsia="zh-CN"/>
              </w:rPr>
              <w:t>管理手册——A/0，</w:t>
            </w:r>
            <w:r>
              <w:rPr>
                <w:rFonts w:hint="eastAsia"/>
                <w:highlight w:val="none"/>
              </w:rPr>
              <w:t>2021年03月01日</w:t>
            </w:r>
          </w:p>
          <w:p>
            <w:pPr>
              <w:keepNext w:val="0"/>
              <w:keepLines w:val="0"/>
              <w:pageBreakBefore w:val="0"/>
              <w:widowControl w:val="0"/>
              <w:kinsoku/>
              <w:wordWrap/>
              <w:overflowPunct/>
              <w:topLinePunct w:val="0"/>
              <w:autoSpaceDE/>
              <w:autoSpaceDN/>
              <w:bidi w:val="0"/>
              <w:spacing w:after="0"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程序文件——A/0，2021年03月01日，包括：风险和机遇的应对控制程序、顾客满意度控制程序、采购控制程序、生产和服务管理控制程序、环境因素识别评价与控制程序、环境法律法规控制程序、应急准备和响应控制程序、监视和测量控制程序、不符合/纠正和预防措施控制程序等26个；</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管理文件——</w:t>
            </w:r>
            <w:r>
              <w:rPr>
                <w:rFonts w:hint="eastAsia" w:cs="Times New Roman"/>
                <w:szCs w:val="22"/>
                <w:highlight w:val="none"/>
                <w:lang w:val="en-US" w:eastAsia="zh-CN"/>
              </w:rPr>
              <w:t>操作规程、管理制度</w:t>
            </w:r>
            <w:r>
              <w:rPr>
                <w:rFonts w:hint="eastAsia" w:ascii="Times New Roman" w:hAnsi="Times New Roman" w:eastAsia="宋体" w:cs="Times New Roman"/>
                <w:szCs w:val="2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建立有外来文件清单，收集相关标准和法律等7个；</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建立环境法律法规和其他要求清单，共</w:t>
            </w:r>
            <w:r>
              <w:rPr>
                <w:rFonts w:hint="eastAsia" w:cs="Times New Roman"/>
                <w:szCs w:val="22"/>
                <w:highlight w:val="none"/>
                <w:lang w:val="en-US" w:eastAsia="zh-CN"/>
              </w:rPr>
              <w:t>73</w:t>
            </w:r>
            <w:r>
              <w:rPr>
                <w:rFonts w:hint="eastAsia" w:ascii="Times New Roman" w:hAnsi="Times New Roman" w:eastAsia="宋体" w:cs="Times New Roman"/>
                <w:szCs w:val="22"/>
                <w:highlight w:val="none"/>
                <w:lang w:val="en-US" w:eastAsia="zh-CN"/>
              </w:rPr>
              <w:t>个。</w:t>
            </w:r>
          </w:p>
          <w:p>
            <w:pPr>
              <w:keepNext w:val="0"/>
              <w:keepLines w:val="0"/>
              <w:pageBreakBefore w:val="0"/>
              <w:widowControl w:val="0"/>
              <w:kinsoku/>
              <w:wordWrap/>
              <w:overflowPunct/>
              <w:topLinePunct w:val="0"/>
              <w:autoSpaceDE/>
              <w:autoSpaceDN/>
              <w:bidi w:val="0"/>
              <w:adjustRightInd/>
              <w:snapToGrid/>
              <w:spacing w:after="0" w:line="360" w:lineRule="auto"/>
              <w:ind w:firstLine="396" w:firstLineChars="200"/>
              <w:textAlignment w:val="auto"/>
              <w:rPr>
                <w:rFonts w:hint="default" w:ascii="Times New Roman" w:hAnsi="Times New Roman" w:cs="Times New Roman" w:eastAsiaTheme="minorEastAsia"/>
                <w:sz w:val="21"/>
                <w:szCs w:val="21"/>
                <w:highlight w:val="none"/>
                <w:lang w:val="en-US" w:eastAsia="zh-CN"/>
              </w:rPr>
            </w:pPr>
            <w:r>
              <w:rPr>
                <w:rFonts w:hint="eastAsia" w:ascii="宋体" w:hAnsi="宋体" w:cs="Arial"/>
                <w:color w:val="auto"/>
                <w:spacing w:val="-6"/>
                <w:sz w:val="21"/>
                <w:szCs w:val="21"/>
                <w:highlight w:val="none"/>
                <w:lang w:val="en-US" w:eastAsia="zh-CN"/>
              </w:rPr>
              <w:t>文件化管理体系目前基本满足要求。</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——在编制体系文件时，对文件进行标识，主要有文件名称/编制部门/批准日期/文件编号等，经查管理手册/程序文件基本符合标准要求。</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管理体系文件经过总经理审批实施发布，经评审，目前文件和目录均适用。符合要求。</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——编制《文件控制程序》，内容符合基本标准要求。</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抽查：受控文件清单、管理评审计划、培训计划、环境因素因素评价记录表、职业健康安全危险源识别与评价表等，其成文信息标识清晰，填写基本齐全、清晰，成文信息在文件柜中分类编目保存，成文信息的贮存和保护符合要求，检索方便。</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成文信息由各部门负责保存，以便查阅。</w:t>
            </w:r>
          </w:p>
          <w:p>
            <w:pPr>
              <w:pStyle w:val="3"/>
              <w:keepNext w:val="0"/>
              <w:keepLines w:val="0"/>
              <w:pageBreakBefore w:val="0"/>
              <w:widowControl w:val="0"/>
              <w:kinsoku/>
              <w:wordWrap/>
              <w:overflowPunct/>
              <w:topLinePunct w:val="0"/>
              <w:autoSpaceDE/>
              <w:autoSpaceDN/>
              <w:bidi w:val="0"/>
              <w:spacing w:after="0" w:afterLines="0" w:line="360" w:lineRule="auto"/>
              <w:ind w:firstLine="420" w:firstLineChars="200"/>
              <w:rPr>
                <w:rFonts w:hint="eastAsia" w:ascii="Times New Roman" w:hAnsi="Times New Roman" w:eastAsia="宋体" w:cs="Times New Roman"/>
                <w:kern w:val="2"/>
                <w:sz w:val="21"/>
                <w:lang w:val="en-US" w:eastAsia="zh-CN" w:bidi="ar-SA"/>
              </w:rPr>
            </w:pPr>
            <w:r>
              <w:rPr>
                <w:rFonts w:hint="default" w:ascii="Times New Roman" w:hAnsi="Times New Roman" w:cs="Times New Roman" w:eastAsiaTheme="minorEastAsia"/>
                <w:sz w:val="21"/>
                <w:szCs w:val="21"/>
                <w:highlight w:val="none"/>
                <w:lang w:val="en-US" w:eastAsia="zh-CN"/>
              </w:rPr>
              <w:t>经查，基本符合标准要求。</w:t>
            </w:r>
          </w:p>
        </w:tc>
        <w:tc>
          <w:tcPr>
            <w:tcW w:w="1585" w:type="dxa"/>
            <w:vAlign w:val="top"/>
          </w:tcPr>
          <w:p>
            <w:pPr>
              <w:keepNext w:val="0"/>
              <w:keepLines w:val="0"/>
              <w:pageBreakBefore w:val="0"/>
              <w:widowControl w:val="0"/>
              <w:kinsoku/>
              <w:wordWrap/>
              <w:overflowPunct/>
              <w:topLinePunct w:val="0"/>
              <w:autoSpaceDE/>
              <w:autoSpaceDN/>
              <w:bidi w:val="0"/>
              <w:spacing w:after="0" w:line="360" w:lineRule="auto"/>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vAlign w:val="center"/>
          </w:tcPr>
          <w:p>
            <w:pPr>
              <w:keepNext w:val="0"/>
              <w:keepLines w:val="0"/>
              <w:pageBreakBefore w:val="0"/>
              <w:widowControl w:val="0"/>
              <w:kinsoku/>
              <w:wordWrap/>
              <w:overflowPunct/>
              <w:topLinePunct w:val="0"/>
              <w:autoSpaceDE/>
              <w:autoSpaceDN/>
              <w:bidi w:val="0"/>
              <w:spacing w:after="0" w:line="360" w:lineRule="auto"/>
              <w:jc w:val="left"/>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合规义务</w:t>
            </w:r>
          </w:p>
          <w:p>
            <w:pPr>
              <w:keepNext w:val="0"/>
              <w:keepLines w:val="0"/>
              <w:pageBreakBefore w:val="0"/>
              <w:widowControl w:val="0"/>
              <w:kinsoku/>
              <w:wordWrap/>
              <w:overflowPunct/>
              <w:topLinePunct w:val="0"/>
              <w:autoSpaceDE/>
              <w:autoSpaceDN/>
              <w:bidi w:val="0"/>
              <w:spacing w:after="0" w:line="360" w:lineRule="auto"/>
              <w:jc w:val="left"/>
              <w:rPr>
                <w:rFonts w:hint="eastAsia" w:ascii="Times New Roman" w:hAnsi="宋体" w:eastAsia="宋体" w:cs="Times New Roman"/>
                <w:kern w:val="2"/>
                <w:sz w:val="21"/>
                <w:szCs w:val="21"/>
                <w:lang w:val="en-US" w:eastAsia="zh-CN" w:bidi="ar-SA"/>
              </w:rPr>
            </w:pPr>
            <w:r>
              <w:rPr>
                <w:rFonts w:hint="eastAsia" w:ascii="宋体" w:hAnsi="宋体" w:eastAsia="宋体" w:cs="Arial"/>
                <w:spacing w:val="-6"/>
                <w:sz w:val="21"/>
                <w:szCs w:val="21"/>
                <w:lang w:val="en-US" w:eastAsia="zh-CN"/>
              </w:rPr>
              <w:t>合规性评价</w:t>
            </w:r>
          </w:p>
        </w:tc>
        <w:tc>
          <w:tcPr>
            <w:tcW w:w="1149" w:type="dxa"/>
            <w:vAlign w:val="center"/>
          </w:tcPr>
          <w:p>
            <w:pPr>
              <w:keepNext w:val="0"/>
              <w:keepLines w:val="0"/>
              <w:pageBreakBefore w:val="0"/>
              <w:widowControl w:val="0"/>
              <w:kinsoku/>
              <w:wordWrap/>
              <w:overflowPunct/>
              <w:topLinePunct w:val="0"/>
              <w:autoSpaceDE/>
              <w:autoSpaceDN/>
              <w:bidi w:val="0"/>
              <w:spacing w:after="0" w:line="360" w:lineRule="auto"/>
              <w:jc w:val="center"/>
              <w:rPr>
                <w:rFonts w:hint="eastAsia" w:ascii="宋体" w:hAnsi="宋体" w:eastAsia="宋体" w:cs="Arial"/>
                <w:color w:val="auto"/>
                <w:spacing w:val="-6"/>
                <w:kern w:val="2"/>
                <w:sz w:val="21"/>
                <w:szCs w:val="21"/>
                <w:lang w:val="en-US" w:eastAsia="zh-CN" w:bidi="ar-SA"/>
              </w:rPr>
            </w:pPr>
            <w:r>
              <w:rPr>
                <w:rFonts w:hint="eastAsia" w:ascii="宋体" w:hAnsi="宋体" w:eastAsia="宋体" w:cs="Arial"/>
                <w:color w:val="auto"/>
                <w:spacing w:val="-6"/>
                <w:kern w:val="2"/>
                <w:sz w:val="21"/>
                <w:szCs w:val="21"/>
                <w:lang w:val="en-US" w:eastAsia="zh-CN" w:bidi="ar-SA"/>
              </w:rPr>
              <w:t>E:6.1.3</w:t>
            </w:r>
          </w:p>
          <w:p>
            <w:pPr>
              <w:keepNext w:val="0"/>
              <w:keepLines w:val="0"/>
              <w:pageBreakBefore w:val="0"/>
              <w:widowControl w:val="0"/>
              <w:kinsoku/>
              <w:wordWrap/>
              <w:overflowPunct/>
              <w:topLinePunct w:val="0"/>
              <w:autoSpaceDE/>
              <w:autoSpaceDN/>
              <w:bidi w:val="0"/>
              <w:spacing w:after="0" w:line="360" w:lineRule="auto"/>
              <w:jc w:val="center"/>
              <w:rPr>
                <w:rFonts w:hint="eastAsia" w:ascii="宋体" w:hAnsi="宋体" w:eastAsia="宋体" w:cs="Arial"/>
                <w:color w:val="auto"/>
                <w:spacing w:val="-6"/>
                <w:kern w:val="2"/>
                <w:sz w:val="21"/>
                <w:szCs w:val="21"/>
                <w:lang w:val="en-US" w:eastAsia="zh-CN" w:bidi="ar-SA"/>
              </w:rPr>
            </w:pPr>
            <w:r>
              <w:rPr>
                <w:rFonts w:hint="eastAsia" w:ascii="宋体" w:hAnsi="宋体" w:eastAsia="宋体" w:cs="Arial"/>
                <w:color w:val="auto"/>
                <w:spacing w:val="-6"/>
                <w:kern w:val="2"/>
                <w:sz w:val="21"/>
                <w:szCs w:val="21"/>
                <w:lang w:val="en-US" w:eastAsia="zh-CN" w:bidi="ar-SA"/>
              </w:rPr>
              <w:t>9.1.2</w:t>
            </w:r>
          </w:p>
        </w:tc>
        <w:tc>
          <w:tcPr>
            <w:tcW w:w="9815" w:type="dxa"/>
            <w:vAlign w:val="top"/>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cs="Times New Roman" w:eastAsiaTheme="minorEastAsia"/>
                <w:color w:val="auto"/>
                <w:sz w:val="21"/>
                <w:szCs w:val="21"/>
                <w:highlight w:val="none"/>
                <w:lang w:val="zh-CN" w:eastAsia="zh-CN"/>
              </w:rPr>
            </w:pPr>
            <w:r>
              <w:rPr>
                <w:rFonts w:hint="eastAsia" w:ascii="Times New Roman" w:hAnsi="Times New Roman" w:cs="Times New Roman" w:eastAsiaTheme="minorEastAsia"/>
                <w:color w:val="auto"/>
                <w:sz w:val="21"/>
                <w:szCs w:val="21"/>
                <w:highlight w:val="none"/>
                <w:lang w:val="zh-CN" w:eastAsia="zh-CN"/>
              </w:rPr>
              <w:t>查见“环境法律法规控制程序”，有效文件，无变化；</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cs="Times New Roman" w:eastAsiaTheme="minorEastAsia"/>
                <w:color w:val="auto"/>
                <w:sz w:val="21"/>
                <w:szCs w:val="21"/>
                <w:highlight w:val="none"/>
                <w:lang w:val="zh-CN" w:eastAsia="zh-CN"/>
              </w:rPr>
            </w:pPr>
            <w:r>
              <w:rPr>
                <w:rFonts w:hint="eastAsia" w:ascii="Times New Roman" w:hAnsi="Times New Roman" w:cs="Times New Roman" w:eastAsiaTheme="minorEastAsia"/>
                <w:color w:val="auto"/>
                <w:sz w:val="21"/>
                <w:szCs w:val="21"/>
                <w:highlight w:val="none"/>
                <w:lang w:val="zh-CN" w:eastAsia="zh-CN"/>
              </w:rPr>
              <w:t>建立环境法律法规和其他要求清单，</w:t>
            </w:r>
            <w:r>
              <w:rPr>
                <w:rFonts w:hint="eastAsia" w:ascii="Times New Roman" w:hAnsi="Times New Roman" w:eastAsia="宋体" w:cs="Times New Roman"/>
                <w:szCs w:val="22"/>
                <w:highlight w:val="none"/>
                <w:lang w:val="en-US" w:eastAsia="zh-CN"/>
              </w:rPr>
              <w:t>共</w:t>
            </w:r>
            <w:r>
              <w:rPr>
                <w:rFonts w:hint="eastAsia" w:cs="Times New Roman"/>
                <w:szCs w:val="22"/>
                <w:highlight w:val="none"/>
                <w:lang w:val="en-US" w:eastAsia="zh-CN"/>
              </w:rPr>
              <w:t>73</w:t>
            </w:r>
            <w:r>
              <w:rPr>
                <w:rFonts w:hint="eastAsia" w:ascii="Times New Roman" w:hAnsi="Times New Roman" w:eastAsia="宋体" w:cs="Times New Roman"/>
                <w:szCs w:val="22"/>
                <w:highlight w:val="none"/>
                <w:lang w:val="en-US" w:eastAsia="zh-CN"/>
              </w:rPr>
              <w:t>个</w:t>
            </w:r>
            <w:r>
              <w:rPr>
                <w:rFonts w:hint="eastAsia" w:ascii="Times New Roman" w:hAnsi="Times New Roman" w:cs="Times New Roman" w:eastAsiaTheme="minorEastAsia"/>
                <w:color w:val="auto"/>
                <w:sz w:val="21"/>
                <w:szCs w:val="21"/>
                <w:highlight w:val="none"/>
                <w:lang w:val="zh-CN" w:eastAsia="zh-CN"/>
              </w:rPr>
              <w:t>，</w:t>
            </w:r>
            <w:r>
              <w:rPr>
                <w:rFonts w:hint="eastAsia" w:ascii="Times New Roman" w:hAnsi="Times New Roman" w:cs="Times New Roman" w:eastAsiaTheme="minorEastAsia"/>
                <w:color w:val="auto"/>
                <w:sz w:val="21"/>
                <w:szCs w:val="21"/>
                <w:highlight w:val="none"/>
                <w:lang w:val="en-US" w:eastAsia="zh-CN"/>
              </w:rPr>
              <w:t>详见清单；</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cs="Times New Roman" w:eastAsiaTheme="minorEastAsia"/>
                <w:color w:val="auto"/>
                <w:sz w:val="21"/>
                <w:szCs w:val="21"/>
                <w:highlight w:val="none"/>
                <w:lang w:val="zh-CN" w:eastAsia="zh-CN"/>
              </w:rPr>
            </w:pPr>
            <w:r>
              <w:rPr>
                <w:rFonts w:hint="eastAsia" w:ascii="Times New Roman" w:hAnsi="Times New Roman" w:cs="Times New Roman" w:eastAsiaTheme="minorEastAsia"/>
                <w:color w:val="auto"/>
                <w:sz w:val="21"/>
                <w:szCs w:val="21"/>
                <w:highlight w:val="none"/>
                <w:lang w:val="zh-CN" w:eastAsia="zh-CN"/>
              </w:rPr>
              <w:t>基本符合。</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cs="Times New Roman" w:eastAsiaTheme="minorEastAsia"/>
                <w:color w:val="auto"/>
                <w:sz w:val="21"/>
                <w:szCs w:val="21"/>
                <w:highlight w:val="none"/>
                <w:lang w:val="zh-CN" w:eastAsia="zh-CN"/>
              </w:rPr>
            </w:pPr>
            <w:r>
              <w:rPr>
                <w:rFonts w:hint="eastAsia" w:ascii="Times New Roman" w:hAnsi="Times New Roman" w:cs="Times New Roman" w:eastAsiaTheme="minorEastAsia"/>
                <w:color w:val="auto"/>
                <w:sz w:val="21"/>
                <w:szCs w:val="21"/>
                <w:highlight w:val="none"/>
                <w:lang w:val="zh-CN" w:eastAsia="zh-CN"/>
              </w:rPr>
              <w:t>2021年4月10日至2021年4月11日进行合规性评价，保留有合规性评价记录和合规性评价报告。</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sz w:val="21"/>
                <w:szCs w:val="21"/>
                <w:highlight w:val="none"/>
                <w:lang w:val="zh-CN" w:eastAsia="zh-CN"/>
              </w:rPr>
              <w:t>评价结论：公司对适用的法律、法规均已遵守。自公司2021年3月建立管理体系以来，未发生任何破坏环境的现象及安全事故现象；未发生任何顾客、周边居民因环境、安全事故而投诉的现象。</w:t>
            </w:r>
          </w:p>
        </w:tc>
        <w:tc>
          <w:tcPr>
            <w:tcW w:w="1585" w:type="dxa"/>
            <w:vAlign w:val="top"/>
          </w:tcPr>
          <w:p>
            <w:pPr>
              <w:keepNext w:val="0"/>
              <w:keepLines w:val="0"/>
              <w:pageBreakBefore w:val="0"/>
              <w:widowControl w:val="0"/>
              <w:kinsoku/>
              <w:wordWrap/>
              <w:overflowPunct/>
              <w:topLinePunct w:val="0"/>
              <w:autoSpaceDE/>
              <w:autoSpaceDN/>
              <w:bidi w:val="0"/>
              <w:spacing w:after="0" w:line="360" w:lineRule="auto"/>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vAlign w:val="center"/>
          </w:tcPr>
          <w:p>
            <w:pPr>
              <w:pStyle w:val="2"/>
              <w:keepNext w:val="0"/>
              <w:keepLines w:val="0"/>
              <w:pageBreakBefore w:val="0"/>
              <w:widowControl w:val="0"/>
              <w:kinsoku/>
              <w:wordWrap/>
              <w:overflowPunct/>
              <w:topLinePunct w:val="0"/>
              <w:autoSpaceDE/>
              <w:autoSpaceDN/>
              <w:bidi w:val="0"/>
              <w:spacing w:before="0" w:after="0" w:line="360" w:lineRule="auto"/>
              <w:jc w:val="left"/>
              <w:rPr>
                <w:rFonts w:hint="eastAsia" w:ascii="Times New Roman" w:hAnsi="Times New Roman" w:eastAsia="宋体" w:cs="Times New Roman"/>
                <w:bCs/>
                <w:spacing w:val="10"/>
                <w:kern w:val="2"/>
                <w:sz w:val="21"/>
                <w:lang w:val="en-US" w:eastAsia="zh-CN" w:bidi="ar-SA"/>
              </w:rPr>
            </w:pPr>
            <w:r>
              <w:t>运行策划和控制</w:t>
            </w:r>
          </w:p>
        </w:tc>
        <w:tc>
          <w:tcPr>
            <w:tcW w:w="1149" w:type="dxa"/>
            <w:vAlign w:val="center"/>
          </w:tcPr>
          <w:p>
            <w:pPr>
              <w:keepNext w:val="0"/>
              <w:keepLines w:val="0"/>
              <w:pageBreakBefore w:val="0"/>
              <w:widowControl w:val="0"/>
              <w:kinsoku/>
              <w:wordWrap/>
              <w:overflowPunct/>
              <w:topLinePunct w:val="0"/>
              <w:autoSpaceDE/>
              <w:autoSpaceDN/>
              <w:bidi w:val="0"/>
              <w:spacing w:after="0" w:line="360" w:lineRule="auto"/>
              <w:jc w:val="center"/>
              <w:rPr>
                <w:rFonts w:hint="eastAsia" w:ascii="Times New Roman" w:hAnsi="Times New Roman" w:eastAsia="宋体" w:cs="Times New Roman"/>
                <w:kern w:val="2"/>
                <w:sz w:val="21"/>
                <w:szCs w:val="21"/>
                <w:lang w:val="en-US" w:eastAsia="zh-CN" w:bidi="ar-SA"/>
              </w:rPr>
            </w:pPr>
            <w:r>
              <w:rPr>
                <w:rFonts w:hint="eastAsia" w:ascii="宋体" w:hAnsi="宋体" w:eastAsia="宋体" w:cs="Arial"/>
                <w:color w:val="auto"/>
                <w:spacing w:val="-6"/>
                <w:kern w:val="2"/>
                <w:sz w:val="21"/>
                <w:szCs w:val="21"/>
                <w:lang w:val="en-US" w:eastAsia="zh-CN" w:bidi="ar-SA"/>
              </w:rPr>
              <w:t>E</w:t>
            </w:r>
            <w:r>
              <w:rPr>
                <w:rFonts w:hint="eastAsia" w:ascii="宋体" w:hAnsi="宋体" w:cs="Arial"/>
                <w:color w:val="auto"/>
                <w:spacing w:val="-6"/>
                <w:kern w:val="2"/>
                <w:sz w:val="21"/>
                <w:szCs w:val="21"/>
                <w:lang w:val="en-US" w:eastAsia="zh-CN" w:bidi="ar-SA"/>
              </w:rPr>
              <w:t>:</w:t>
            </w:r>
            <w:r>
              <w:rPr>
                <w:rFonts w:hint="eastAsia" w:ascii="宋体" w:hAnsi="宋体" w:eastAsia="宋体" w:cs="Arial"/>
                <w:color w:val="auto"/>
                <w:spacing w:val="-6"/>
                <w:kern w:val="2"/>
                <w:sz w:val="21"/>
                <w:szCs w:val="21"/>
                <w:lang w:val="en-US" w:eastAsia="zh-CN" w:bidi="ar-SA"/>
              </w:rPr>
              <w:t>8.1</w:t>
            </w:r>
          </w:p>
        </w:tc>
        <w:tc>
          <w:tcPr>
            <w:tcW w:w="9815" w:type="dxa"/>
            <w:vAlign w:val="top"/>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办公室有垃圾桶，办公过程产生的垃圾统一收集、市政环卫部门处理；</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介绍说办公用废弃硒鼓由供应商回收，以旧换新；</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办公室无明显噪声和异味，无废气排放；</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生活废水经市政管网排放；</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按公司要求人走关灯，电脑要求人走后电源切断；</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节约用水用电、纸张双面使用；</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办公区域配备了灭火器材；</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eastAsia="宋体" w:cs="Times New Roman"/>
                <w:kern w:val="2"/>
                <w:sz w:val="21"/>
                <w:highlight w:val="none"/>
                <w:lang w:val="zh-CN" w:eastAsia="zh-CN" w:bidi="ar-SA"/>
              </w:rPr>
            </w:pPr>
            <w:r>
              <w:rPr>
                <w:rFonts w:hint="eastAsia" w:ascii="Times New Roman" w:hAnsi="Times New Roman" w:cs="Times New Roman" w:eastAsiaTheme="minorEastAsia"/>
                <w:color w:val="auto"/>
                <w:sz w:val="21"/>
                <w:szCs w:val="21"/>
                <w:highlight w:val="none"/>
                <w:lang w:val="en-US" w:eastAsia="zh-CN"/>
              </w:rPr>
              <w:t>办公室内主要是电的使用，现场查看电路、电源正常，无乱拉乱接电线、使用超额电气等现象。</w:t>
            </w:r>
          </w:p>
        </w:tc>
        <w:tc>
          <w:tcPr>
            <w:tcW w:w="1585"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vAlign w:val="center"/>
          </w:tcPr>
          <w:p>
            <w:pPr>
              <w:keepNext w:val="0"/>
              <w:keepLines w:val="0"/>
              <w:pageBreakBefore w:val="0"/>
              <w:widowControl w:val="0"/>
              <w:kinsoku/>
              <w:wordWrap/>
              <w:overflowPunct/>
              <w:topLinePunct w:val="0"/>
              <w:autoSpaceDE/>
              <w:autoSpaceDN/>
              <w:bidi w:val="0"/>
              <w:spacing w:after="0" w:line="360" w:lineRule="auto"/>
              <w:jc w:val="left"/>
              <w:rPr>
                <w:rFonts w:hint="eastAsia" w:ascii="Times New Roman" w:hAnsi="Times New Roman" w:eastAsia="宋体" w:cs="Times New Roman"/>
                <w:kern w:val="2"/>
                <w:sz w:val="21"/>
                <w:szCs w:val="21"/>
                <w:lang w:val="en-US" w:eastAsia="zh-CN" w:bidi="ar-SA"/>
              </w:rPr>
            </w:pPr>
            <w:r>
              <w:rPr>
                <w:rFonts w:hAnsi="宋体"/>
                <w:szCs w:val="21"/>
              </w:rPr>
              <w:t>应急准备和响应</w:t>
            </w:r>
          </w:p>
        </w:tc>
        <w:tc>
          <w:tcPr>
            <w:tcW w:w="1149" w:type="dxa"/>
            <w:vAlign w:val="center"/>
          </w:tcPr>
          <w:p>
            <w:pPr>
              <w:keepNext w:val="0"/>
              <w:keepLines w:val="0"/>
              <w:pageBreakBefore w:val="0"/>
              <w:widowControl w:val="0"/>
              <w:kinsoku/>
              <w:wordWrap/>
              <w:overflowPunct/>
              <w:topLinePunct w:val="0"/>
              <w:autoSpaceDE/>
              <w:autoSpaceDN/>
              <w:bidi w:val="0"/>
              <w:spacing w:after="0" w:line="360" w:lineRule="auto"/>
              <w:jc w:val="center"/>
              <w:rPr>
                <w:rFonts w:hint="eastAsia" w:ascii="宋体" w:hAnsi="宋体" w:eastAsia="宋体" w:cs="Arial"/>
                <w:color w:val="auto"/>
                <w:spacing w:val="-6"/>
                <w:kern w:val="2"/>
                <w:sz w:val="21"/>
                <w:szCs w:val="21"/>
                <w:lang w:val="en-US" w:eastAsia="zh-CN" w:bidi="ar-SA"/>
              </w:rPr>
            </w:pPr>
            <w:r>
              <w:rPr>
                <w:rFonts w:hint="eastAsia" w:ascii="宋体" w:hAnsi="宋体" w:eastAsia="宋体" w:cs="Arial"/>
                <w:color w:val="auto"/>
                <w:spacing w:val="-6"/>
                <w:kern w:val="2"/>
                <w:sz w:val="21"/>
                <w:szCs w:val="21"/>
                <w:lang w:val="en-US" w:eastAsia="zh-CN" w:bidi="ar-SA"/>
              </w:rPr>
              <w:t>E：8.2</w:t>
            </w:r>
          </w:p>
        </w:tc>
        <w:tc>
          <w:tcPr>
            <w:tcW w:w="9815" w:type="dxa"/>
            <w:vAlign w:val="top"/>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保持有：火灾应急预案、触电事故应急预案、食物中毒应急预案；基本符合；</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cs="Times New Roman" w:eastAsiaTheme="minorEastAsia"/>
                <w:color w:val="auto"/>
                <w:kern w:val="2"/>
                <w:sz w:val="21"/>
                <w:szCs w:val="21"/>
                <w:highlight w:val="none"/>
                <w:lang w:val="zh-CN" w:eastAsia="zh-CN" w:bidi="ar-SA"/>
              </w:rPr>
            </w:pPr>
            <w:r>
              <w:rPr>
                <w:rFonts w:hint="eastAsia" w:ascii="Times New Roman" w:hAnsi="Times New Roman" w:cs="Times New Roman" w:eastAsiaTheme="minorEastAsia"/>
                <w:color w:val="auto"/>
                <w:sz w:val="21"/>
                <w:szCs w:val="21"/>
                <w:highlight w:val="none"/>
                <w:lang w:val="en-US" w:eastAsia="zh-CN"/>
              </w:rPr>
              <w:t>参加餐饮部组织的应急演练，详见餐饮部审核记录。</w:t>
            </w:r>
          </w:p>
        </w:tc>
        <w:tc>
          <w:tcPr>
            <w:tcW w:w="1585" w:type="dxa"/>
            <w:vAlign w:val="top"/>
          </w:tcPr>
          <w:p>
            <w:pPr>
              <w:keepNext w:val="0"/>
              <w:keepLines w:val="0"/>
              <w:pageBreakBefore w:val="0"/>
              <w:widowControl w:val="0"/>
              <w:kinsoku/>
              <w:wordWrap/>
              <w:overflowPunct/>
              <w:topLinePunct w:val="0"/>
              <w:autoSpaceDE/>
              <w:autoSpaceDN/>
              <w:bidi w:val="0"/>
              <w:spacing w:after="0" w:line="360" w:lineRule="auto"/>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vAlign w:val="center"/>
          </w:tcPr>
          <w:p>
            <w:pPr>
              <w:keepNext w:val="0"/>
              <w:keepLines w:val="0"/>
              <w:pageBreakBefore w:val="0"/>
              <w:widowControl w:val="0"/>
              <w:kinsoku/>
              <w:wordWrap/>
              <w:overflowPunct/>
              <w:topLinePunct w:val="0"/>
              <w:autoSpaceDE/>
              <w:autoSpaceDN/>
              <w:bidi w:val="0"/>
              <w:spacing w:after="0" w:line="360" w:lineRule="auto"/>
              <w:jc w:val="left"/>
              <w:rPr>
                <w:rFonts w:hint="eastAsia" w:ascii="Times New Roman" w:hAnsi="Times New Roman" w:eastAsia="宋体" w:cs="Times New Roman"/>
                <w:kern w:val="2"/>
                <w:sz w:val="21"/>
                <w:szCs w:val="21"/>
                <w:highlight w:val="yellow"/>
                <w:lang w:val="en-US" w:eastAsia="zh-CN" w:bidi="ar-SA"/>
              </w:rPr>
            </w:pPr>
            <w:r>
              <w:rPr>
                <w:rFonts w:hAnsi="宋体"/>
                <w:spacing w:val="-6"/>
                <w:szCs w:val="21"/>
                <w:highlight w:val="none"/>
              </w:rPr>
              <w:t>监视、测量、分析和评价</w:t>
            </w:r>
          </w:p>
        </w:tc>
        <w:tc>
          <w:tcPr>
            <w:tcW w:w="1149" w:type="dxa"/>
            <w:vAlign w:val="center"/>
          </w:tcPr>
          <w:p>
            <w:pPr>
              <w:keepNext w:val="0"/>
              <w:keepLines w:val="0"/>
              <w:pageBreakBefore w:val="0"/>
              <w:widowControl w:val="0"/>
              <w:kinsoku/>
              <w:wordWrap/>
              <w:overflowPunct/>
              <w:topLinePunct w:val="0"/>
              <w:autoSpaceDE/>
              <w:autoSpaceDN/>
              <w:bidi w:val="0"/>
              <w:spacing w:after="0" w:line="360" w:lineRule="auto"/>
              <w:jc w:val="center"/>
              <w:rPr>
                <w:rFonts w:hint="eastAsia" w:ascii="宋体" w:hAnsi="宋体" w:eastAsia="宋体" w:cs="Arial"/>
                <w:color w:val="auto"/>
                <w:spacing w:val="-6"/>
                <w:kern w:val="2"/>
                <w:sz w:val="21"/>
                <w:szCs w:val="21"/>
                <w:lang w:val="en-US" w:eastAsia="zh-CN" w:bidi="ar-SA"/>
              </w:rPr>
            </w:pPr>
            <w:r>
              <w:rPr>
                <w:rFonts w:hint="eastAsia" w:ascii="宋体" w:hAnsi="宋体" w:eastAsia="宋体" w:cs="Arial"/>
                <w:color w:val="auto"/>
                <w:spacing w:val="-6"/>
                <w:kern w:val="2"/>
                <w:sz w:val="21"/>
                <w:szCs w:val="21"/>
                <w:lang w:val="en-US" w:eastAsia="zh-CN" w:bidi="ar-SA"/>
              </w:rPr>
              <w:t>QE:9.1.1</w:t>
            </w:r>
          </w:p>
          <w:p>
            <w:pPr>
              <w:keepNext w:val="0"/>
              <w:keepLines w:val="0"/>
              <w:pageBreakBefore w:val="0"/>
              <w:widowControl w:val="0"/>
              <w:kinsoku/>
              <w:wordWrap/>
              <w:overflowPunct/>
              <w:topLinePunct w:val="0"/>
              <w:autoSpaceDE/>
              <w:autoSpaceDN/>
              <w:bidi w:val="0"/>
              <w:spacing w:after="0" w:line="360" w:lineRule="auto"/>
              <w:jc w:val="center"/>
              <w:rPr>
                <w:rFonts w:hint="eastAsia" w:ascii="宋体" w:hAnsi="宋体" w:eastAsia="宋体" w:cs="Arial"/>
                <w:color w:val="auto"/>
                <w:spacing w:val="-6"/>
                <w:kern w:val="2"/>
                <w:sz w:val="21"/>
                <w:szCs w:val="21"/>
                <w:lang w:val="en-US" w:eastAsia="zh-CN" w:bidi="ar-SA"/>
              </w:rPr>
            </w:pPr>
            <w:r>
              <w:rPr>
                <w:rFonts w:hint="eastAsia" w:ascii="宋体" w:hAnsi="宋体" w:eastAsia="宋体" w:cs="Arial"/>
                <w:color w:val="auto"/>
                <w:spacing w:val="-6"/>
                <w:kern w:val="2"/>
                <w:sz w:val="21"/>
                <w:szCs w:val="21"/>
                <w:lang w:val="en-US" w:eastAsia="zh-CN" w:bidi="ar-SA"/>
              </w:rPr>
              <w:t>Q:9.1.3</w:t>
            </w:r>
          </w:p>
        </w:tc>
        <w:tc>
          <w:tcPr>
            <w:tcW w:w="9815" w:type="dxa"/>
            <w:vAlign w:val="top"/>
          </w:tcPr>
          <w:p>
            <w:pPr>
              <w:keepNext w:val="0"/>
              <w:keepLines w:val="0"/>
              <w:pageBreakBefore w:val="0"/>
              <w:widowControl w:val="0"/>
              <w:kinsoku/>
              <w:wordWrap/>
              <w:overflowPunct/>
              <w:topLinePunct w:val="0"/>
              <w:autoSpaceDE/>
              <w:autoSpaceDN/>
              <w:bidi w:val="0"/>
              <w:spacing w:after="0" w:line="360" w:lineRule="auto"/>
              <w:ind w:firstLine="420" w:firstLineChars="200"/>
              <w:rPr>
                <w:rFonts w:hint="default"/>
                <w:lang w:val="en-US" w:eastAsia="zh-CN"/>
              </w:rPr>
            </w:pPr>
            <w:r>
              <w:rPr>
                <w:rFonts w:hint="eastAsia"/>
                <w:lang w:val="en-US" w:eastAsia="zh-CN"/>
              </w:rPr>
              <w:t>公司在管理手册中明确了监视测量的要求，</w:t>
            </w:r>
            <w:r>
              <w:rPr>
                <w:rFonts w:hint="default"/>
                <w:lang w:val="en-US" w:eastAsia="zh-CN"/>
              </w:rPr>
              <w:t>制定了《顾客满意度测量控制程序》、《管理评审控制程序》和《内部审核控制程序》等程序。</w:t>
            </w:r>
          </w:p>
          <w:p>
            <w:pPr>
              <w:keepNext w:val="0"/>
              <w:keepLines w:val="0"/>
              <w:pageBreakBefore w:val="0"/>
              <w:widowControl w:val="0"/>
              <w:kinsoku/>
              <w:wordWrap/>
              <w:overflowPunct/>
              <w:topLinePunct w:val="0"/>
              <w:autoSpaceDE/>
              <w:autoSpaceDN/>
              <w:bidi w:val="0"/>
              <w:spacing w:after="0" w:line="360" w:lineRule="auto"/>
              <w:ind w:firstLine="420" w:firstLineChars="200"/>
              <w:rPr>
                <w:rFonts w:hint="eastAsia"/>
                <w:highlight w:val="none"/>
                <w:lang w:val="en-US" w:eastAsia="zh-CN"/>
              </w:rPr>
            </w:pPr>
            <w:r>
              <w:rPr>
                <w:rFonts w:hint="eastAsia"/>
                <w:highlight w:val="none"/>
                <w:lang w:val="en-US" w:eastAsia="zh-CN"/>
              </w:rPr>
              <w:t>行政部保留“目标考核记录表”，对各部门完成目标情况进行监测；</w:t>
            </w:r>
          </w:p>
          <w:p>
            <w:pPr>
              <w:pStyle w:val="3"/>
              <w:keepNext w:val="0"/>
              <w:keepLines w:val="0"/>
              <w:pageBreakBefore w:val="0"/>
              <w:widowControl w:val="0"/>
              <w:kinsoku/>
              <w:wordWrap/>
              <w:overflowPunct/>
              <w:topLinePunct w:val="0"/>
              <w:autoSpaceDE/>
              <w:autoSpaceDN/>
              <w:bidi w:val="0"/>
              <w:spacing w:after="0" w:afterLines="0" w:line="360" w:lineRule="auto"/>
              <w:ind w:firstLine="420" w:firstLineChars="200"/>
              <w:rPr>
                <w:rFonts w:hint="default"/>
                <w:highlight w:val="none"/>
                <w:lang w:val="en-US" w:eastAsia="zh-CN"/>
              </w:rPr>
            </w:pPr>
            <w:r>
              <w:rPr>
                <w:rFonts w:hint="eastAsia"/>
                <w:highlight w:val="none"/>
                <w:lang w:val="en-US" w:eastAsia="zh-CN"/>
              </w:rPr>
              <w:t>查见“食品生产经营日常监督检查结果记录表”，2021.9.7，南康区市场监督管理局出具，结果符合；</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查见工作人员健康检查记录，对员工洗手、佩戴口罩、穿工作服、个人卫生、消杀体温等；每天记录，检查人签名。</w:t>
            </w:r>
          </w:p>
          <w:p>
            <w:pPr>
              <w:pStyle w:val="3"/>
              <w:keepNext w:val="0"/>
              <w:keepLines w:val="0"/>
              <w:pageBreakBefore w:val="0"/>
              <w:widowControl w:val="0"/>
              <w:kinsoku/>
              <w:wordWrap/>
              <w:overflowPunct/>
              <w:topLinePunct w:val="0"/>
              <w:autoSpaceDE/>
              <w:autoSpaceDN/>
              <w:bidi w:val="0"/>
              <w:spacing w:after="0" w:afterLines="0" w:line="360" w:lineRule="auto"/>
              <w:ind w:firstLine="420" w:firstLineChars="200"/>
              <w:rPr>
                <w:rFonts w:hint="default"/>
                <w:color w:val="FF0000"/>
                <w:highlight w:val="none"/>
                <w:lang w:val="en-US" w:eastAsia="zh-CN"/>
              </w:rPr>
            </w:pPr>
            <w:r>
              <w:rPr>
                <w:rFonts w:hint="eastAsia"/>
                <w:color w:val="FF0000"/>
                <w:highlight w:val="none"/>
                <w:lang w:val="en-US" w:eastAsia="zh-CN"/>
              </w:rPr>
              <w:t>未提供“油烟监测报告”，无法判定油烟排放是否符合GB 18483-2001《饮食业油烟排放标准》。</w:t>
            </w:r>
          </w:p>
          <w:p>
            <w:pPr>
              <w:pStyle w:val="3"/>
              <w:keepNext w:val="0"/>
              <w:keepLines w:val="0"/>
              <w:pageBreakBefore w:val="0"/>
              <w:widowControl w:val="0"/>
              <w:kinsoku/>
              <w:wordWrap/>
              <w:overflowPunct/>
              <w:topLinePunct w:val="0"/>
              <w:autoSpaceDE/>
              <w:autoSpaceDN/>
              <w:bidi w:val="0"/>
              <w:spacing w:after="0" w:afterLines="0" w:line="360" w:lineRule="auto"/>
              <w:ind w:firstLine="420" w:firstLineChars="200"/>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对目标完成、顾客满意等进行统计分析，保留分析结果。</w:t>
            </w:r>
            <w:bookmarkStart w:id="2" w:name="_GoBack"/>
            <w:bookmarkEnd w:id="2"/>
          </w:p>
        </w:tc>
        <w:tc>
          <w:tcPr>
            <w:tcW w:w="1585" w:type="dxa"/>
            <w:vAlign w:val="top"/>
          </w:tcPr>
          <w:p>
            <w:pPr>
              <w:keepNext w:val="0"/>
              <w:keepLines w:val="0"/>
              <w:pageBreakBefore w:val="0"/>
              <w:widowControl w:val="0"/>
              <w:kinsoku/>
              <w:wordWrap/>
              <w:overflowPunct/>
              <w:topLinePunct w:val="0"/>
              <w:autoSpaceDE/>
              <w:autoSpaceDN/>
              <w:bidi w:val="0"/>
              <w:spacing w:after="0" w:line="360" w:lineRule="auto"/>
              <w:rPr>
                <w:rFonts w:hint="eastAsia" w:cs="Times New Roman"/>
                <w:kern w:val="2"/>
                <w:sz w:val="21"/>
                <w:lang w:val="en-US" w:eastAsia="zh-CN" w:bidi="ar-SA"/>
              </w:rPr>
            </w:pPr>
          </w:p>
          <w:p>
            <w:pPr>
              <w:keepNext w:val="0"/>
              <w:keepLines w:val="0"/>
              <w:pageBreakBefore w:val="0"/>
              <w:widowControl w:val="0"/>
              <w:kinsoku/>
              <w:wordWrap/>
              <w:overflowPunct/>
              <w:topLinePunct w:val="0"/>
              <w:autoSpaceDE/>
              <w:autoSpaceDN/>
              <w:bidi w:val="0"/>
              <w:spacing w:after="0" w:line="360" w:lineRule="auto"/>
              <w:rPr>
                <w:rFonts w:hint="eastAsia" w:cs="Times New Roman"/>
                <w:kern w:val="2"/>
                <w:sz w:val="21"/>
                <w:lang w:val="en-US" w:eastAsia="zh-CN" w:bidi="ar-SA"/>
              </w:rPr>
            </w:pPr>
          </w:p>
          <w:p>
            <w:pPr>
              <w:keepNext w:val="0"/>
              <w:keepLines w:val="0"/>
              <w:pageBreakBefore w:val="0"/>
              <w:widowControl w:val="0"/>
              <w:kinsoku/>
              <w:wordWrap/>
              <w:overflowPunct/>
              <w:topLinePunct w:val="0"/>
              <w:autoSpaceDE/>
              <w:autoSpaceDN/>
              <w:bidi w:val="0"/>
              <w:spacing w:after="0" w:line="360" w:lineRule="auto"/>
              <w:rPr>
                <w:rFonts w:hint="eastAsia" w:cs="Times New Roman"/>
                <w:kern w:val="2"/>
                <w:sz w:val="21"/>
                <w:lang w:val="en-US" w:eastAsia="zh-CN" w:bidi="ar-SA"/>
              </w:rPr>
            </w:pPr>
          </w:p>
          <w:p>
            <w:pPr>
              <w:keepNext w:val="0"/>
              <w:keepLines w:val="0"/>
              <w:pageBreakBefore w:val="0"/>
              <w:widowControl w:val="0"/>
              <w:kinsoku/>
              <w:wordWrap/>
              <w:overflowPunct/>
              <w:topLinePunct w:val="0"/>
              <w:autoSpaceDE/>
              <w:autoSpaceDN/>
              <w:bidi w:val="0"/>
              <w:spacing w:after="0" w:line="360" w:lineRule="auto"/>
              <w:rPr>
                <w:rFonts w:hint="eastAsia" w:cs="Times New Roman"/>
                <w:kern w:val="2"/>
                <w:sz w:val="21"/>
                <w:lang w:val="en-US" w:eastAsia="zh-CN" w:bidi="ar-SA"/>
              </w:rPr>
            </w:pPr>
          </w:p>
          <w:p>
            <w:pPr>
              <w:keepNext w:val="0"/>
              <w:keepLines w:val="0"/>
              <w:pageBreakBefore w:val="0"/>
              <w:widowControl w:val="0"/>
              <w:kinsoku/>
              <w:wordWrap/>
              <w:overflowPunct/>
              <w:topLinePunct w:val="0"/>
              <w:autoSpaceDE/>
              <w:autoSpaceDN/>
              <w:bidi w:val="0"/>
              <w:spacing w:after="0" w:line="360" w:lineRule="auto"/>
              <w:rPr>
                <w:rFonts w:hint="eastAsia" w:cs="Times New Roman"/>
                <w:kern w:val="2"/>
                <w:sz w:val="21"/>
                <w:lang w:val="en-US" w:eastAsia="zh-CN" w:bidi="ar-SA"/>
              </w:rPr>
            </w:pPr>
          </w:p>
          <w:p>
            <w:pPr>
              <w:keepNext w:val="0"/>
              <w:keepLines w:val="0"/>
              <w:pageBreakBefore w:val="0"/>
              <w:widowControl w:val="0"/>
              <w:kinsoku/>
              <w:wordWrap/>
              <w:overflowPunct/>
              <w:topLinePunct w:val="0"/>
              <w:autoSpaceDE/>
              <w:autoSpaceDN/>
              <w:bidi w:val="0"/>
              <w:spacing w:after="0" w:line="360" w:lineRule="auto"/>
              <w:rPr>
                <w:rFonts w:hint="eastAsia" w:cs="Times New Roman"/>
                <w:kern w:val="2"/>
                <w:sz w:val="21"/>
                <w:lang w:val="en-US" w:eastAsia="zh-CN" w:bidi="ar-SA"/>
              </w:rPr>
            </w:pPr>
          </w:p>
          <w:p>
            <w:pPr>
              <w:keepNext w:val="0"/>
              <w:keepLines w:val="0"/>
              <w:pageBreakBefore w:val="0"/>
              <w:widowControl w:val="0"/>
              <w:kinsoku/>
              <w:wordWrap/>
              <w:overflowPunct/>
              <w:topLinePunct w:val="0"/>
              <w:autoSpaceDE/>
              <w:autoSpaceDN/>
              <w:bidi w:val="0"/>
              <w:spacing w:after="0" w:line="360" w:lineRule="auto"/>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vAlign w:val="center"/>
          </w:tcPr>
          <w:p>
            <w:pPr>
              <w:keepNext w:val="0"/>
              <w:keepLines w:val="0"/>
              <w:pageBreakBefore w:val="0"/>
              <w:widowControl w:val="0"/>
              <w:kinsoku/>
              <w:wordWrap/>
              <w:overflowPunct/>
              <w:topLinePunct w:val="0"/>
              <w:autoSpaceDE/>
              <w:autoSpaceDN/>
              <w:bidi w:val="0"/>
              <w:spacing w:after="0" w:line="360" w:lineRule="auto"/>
              <w:jc w:val="left"/>
              <w:rPr>
                <w:rFonts w:hint="eastAsia" w:ascii="Times New Roman" w:hAnsi="Times New Roman" w:eastAsia="宋体" w:cs="Times New Roman"/>
                <w:kern w:val="2"/>
                <w:sz w:val="21"/>
                <w:szCs w:val="21"/>
                <w:lang w:val="en-US" w:eastAsia="zh-CN" w:bidi="ar-SA"/>
              </w:rPr>
            </w:pPr>
            <w:r>
              <w:rPr>
                <w:rFonts w:hAnsi="宋体"/>
                <w:szCs w:val="21"/>
              </w:rPr>
              <w:t>内部审核</w:t>
            </w:r>
          </w:p>
        </w:tc>
        <w:tc>
          <w:tcPr>
            <w:tcW w:w="1149" w:type="dxa"/>
            <w:vAlign w:val="center"/>
          </w:tcPr>
          <w:p>
            <w:pPr>
              <w:keepNext w:val="0"/>
              <w:keepLines w:val="0"/>
              <w:pageBreakBefore w:val="0"/>
              <w:widowControl w:val="0"/>
              <w:kinsoku/>
              <w:wordWrap/>
              <w:overflowPunct/>
              <w:topLinePunct w:val="0"/>
              <w:autoSpaceDE/>
              <w:autoSpaceDN/>
              <w:bidi w:val="0"/>
              <w:spacing w:after="0" w:line="360" w:lineRule="auto"/>
              <w:jc w:val="center"/>
              <w:rPr>
                <w:rFonts w:hint="eastAsia" w:ascii="宋体" w:hAnsi="宋体" w:eastAsia="宋体" w:cs="Arial"/>
                <w:color w:val="auto"/>
                <w:spacing w:val="-6"/>
                <w:kern w:val="2"/>
                <w:sz w:val="21"/>
                <w:szCs w:val="21"/>
                <w:lang w:val="en-US" w:eastAsia="zh-CN" w:bidi="ar-SA"/>
              </w:rPr>
            </w:pPr>
            <w:r>
              <w:rPr>
                <w:rFonts w:hint="eastAsia" w:ascii="宋体" w:hAnsi="宋体" w:eastAsia="宋体" w:cs="Arial"/>
                <w:color w:val="auto"/>
                <w:spacing w:val="-6"/>
                <w:kern w:val="2"/>
                <w:sz w:val="21"/>
                <w:szCs w:val="21"/>
                <w:lang w:val="en-US" w:eastAsia="zh-CN" w:bidi="ar-SA"/>
              </w:rPr>
              <w:t>QE</w:t>
            </w:r>
            <w:r>
              <w:rPr>
                <w:rFonts w:hint="eastAsia" w:ascii="宋体" w:hAnsi="宋体" w:cs="Arial"/>
                <w:color w:val="auto"/>
                <w:spacing w:val="-6"/>
                <w:kern w:val="2"/>
                <w:sz w:val="21"/>
                <w:szCs w:val="21"/>
                <w:lang w:val="en-US" w:eastAsia="zh-CN" w:bidi="ar-SA"/>
              </w:rPr>
              <w:t>:</w:t>
            </w:r>
            <w:r>
              <w:rPr>
                <w:rFonts w:hint="eastAsia" w:ascii="宋体" w:hAnsi="宋体" w:eastAsia="宋体" w:cs="Arial"/>
                <w:color w:val="auto"/>
                <w:spacing w:val="-6"/>
                <w:kern w:val="2"/>
                <w:sz w:val="21"/>
                <w:szCs w:val="21"/>
                <w:lang w:val="en-US" w:eastAsia="zh-CN" w:bidi="ar-SA"/>
              </w:rPr>
              <w:t>9.2</w:t>
            </w:r>
          </w:p>
        </w:tc>
        <w:tc>
          <w:tcPr>
            <w:tcW w:w="9815" w:type="dxa"/>
            <w:vAlign w:val="top"/>
          </w:tcPr>
          <w:p>
            <w:pPr>
              <w:keepNext w:val="0"/>
              <w:keepLines w:val="0"/>
              <w:pageBreakBefore w:val="0"/>
              <w:widowControl w:val="0"/>
              <w:kinsoku/>
              <w:wordWrap/>
              <w:overflowPunct/>
              <w:topLinePunct w:val="0"/>
              <w:autoSpaceDE/>
              <w:autoSpaceDN/>
              <w:bidi w:val="0"/>
              <w:spacing w:after="0" w:line="360" w:lineRule="auto"/>
              <w:ind w:firstLine="420" w:firstLineChars="200"/>
              <w:rPr>
                <w:rFonts w:hint="eastAsia"/>
                <w:highlight w:val="none"/>
                <w:lang w:val="en-US" w:eastAsia="zh-CN"/>
              </w:rPr>
            </w:pPr>
            <w:r>
              <w:rPr>
                <w:rFonts w:hint="eastAsia"/>
                <w:highlight w:val="none"/>
                <w:lang w:val="en-US" w:eastAsia="zh-CN"/>
              </w:rPr>
              <w:t>2021年7月3-4日，对各部门进行了内审，保留了内审计划、内审记录、不符合报告、内审报告；内审覆盖了管理体系范围内的活动及标准的要求；</w:t>
            </w:r>
          </w:p>
          <w:p>
            <w:pPr>
              <w:keepNext w:val="0"/>
              <w:keepLines w:val="0"/>
              <w:pageBreakBefore w:val="0"/>
              <w:widowControl w:val="0"/>
              <w:kinsoku/>
              <w:wordWrap/>
              <w:overflowPunct/>
              <w:topLinePunct w:val="0"/>
              <w:autoSpaceDE/>
              <w:autoSpaceDN/>
              <w:bidi w:val="0"/>
              <w:spacing w:after="0" w:line="360" w:lineRule="auto"/>
              <w:ind w:firstLine="420" w:firstLineChars="200"/>
              <w:rPr>
                <w:rFonts w:hint="default"/>
                <w:highlight w:val="none"/>
                <w:lang w:val="en-US" w:eastAsia="zh-CN"/>
              </w:rPr>
            </w:pPr>
            <w:r>
              <w:rPr>
                <w:rFonts w:hint="eastAsia"/>
                <w:highlight w:val="none"/>
                <w:lang w:val="en-US" w:eastAsia="zh-CN"/>
              </w:rPr>
              <w:t>本次内审开具不符合报告1份，已整改，有整改验收记录；</w:t>
            </w:r>
          </w:p>
          <w:p>
            <w:pPr>
              <w:keepNext w:val="0"/>
              <w:keepLines w:val="0"/>
              <w:pageBreakBefore w:val="0"/>
              <w:widowControl w:val="0"/>
              <w:kinsoku/>
              <w:wordWrap/>
              <w:overflowPunct/>
              <w:topLinePunct w:val="0"/>
              <w:autoSpaceDE/>
              <w:autoSpaceDN/>
              <w:bidi w:val="0"/>
              <w:spacing w:after="0" w:line="360" w:lineRule="auto"/>
              <w:ind w:firstLine="420" w:firstLineChars="200"/>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内审结论为：体系运行基本良好，运行达到一定的效果，基本符合标准的要求，但仍存在不足，各部门应举一反三，对类似问题予以整改。</w:t>
            </w:r>
          </w:p>
        </w:tc>
        <w:tc>
          <w:tcPr>
            <w:tcW w:w="1585" w:type="dxa"/>
            <w:vAlign w:val="top"/>
          </w:tcPr>
          <w:p>
            <w:pPr>
              <w:keepNext w:val="0"/>
              <w:keepLines w:val="0"/>
              <w:pageBreakBefore w:val="0"/>
              <w:widowControl w:val="0"/>
              <w:kinsoku/>
              <w:wordWrap/>
              <w:overflowPunct/>
              <w:topLinePunct w:val="0"/>
              <w:autoSpaceDE/>
              <w:autoSpaceDN/>
              <w:bidi w:val="0"/>
              <w:spacing w:after="0" w:line="360" w:lineRule="auto"/>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vAlign w:val="center"/>
          </w:tcPr>
          <w:p>
            <w:pPr>
              <w:keepNext w:val="0"/>
              <w:keepLines w:val="0"/>
              <w:pageBreakBefore w:val="0"/>
              <w:widowControl w:val="0"/>
              <w:kinsoku/>
              <w:wordWrap/>
              <w:overflowPunct/>
              <w:topLinePunct w:val="0"/>
              <w:autoSpaceDE/>
              <w:autoSpaceDN/>
              <w:bidi w:val="0"/>
              <w:spacing w:after="0" w:line="360" w:lineRule="auto"/>
              <w:jc w:val="left"/>
              <w:rPr>
                <w:rFonts w:hint="eastAsia" w:ascii="Times New Roman" w:hAnsi="Times New Roman" w:eastAsia="宋体" w:cs="Times New Roman"/>
                <w:kern w:val="2"/>
                <w:sz w:val="21"/>
                <w:szCs w:val="21"/>
                <w:lang w:val="en-US" w:eastAsia="zh-CN" w:bidi="ar-SA"/>
              </w:rPr>
            </w:pPr>
            <w:r>
              <w:rPr>
                <w:rFonts w:hAnsi="宋体"/>
                <w:szCs w:val="21"/>
              </w:rPr>
              <w:t>不合格和纠正措施</w:t>
            </w:r>
          </w:p>
        </w:tc>
        <w:tc>
          <w:tcPr>
            <w:tcW w:w="1149" w:type="dxa"/>
            <w:vAlign w:val="center"/>
          </w:tcPr>
          <w:p>
            <w:pPr>
              <w:keepNext w:val="0"/>
              <w:keepLines w:val="0"/>
              <w:pageBreakBefore w:val="0"/>
              <w:widowControl w:val="0"/>
              <w:kinsoku/>
              <w:wordWrap/>
              <w:overflowPunct/>
              <w:topLinePunct w:val="0"/>
              <w:autoSpaceDE/>
              <w:autoSpaceDN/>
              <w:bidi w:val="0"/>
              <w:spacing w:after="0" w:line="360" w:lineRule="auto"/>
              <w:jc w:val="center"/>
              <w:rPr>
                <w:rFonts w:hint="eastAsia" w:ascii="宋体" w:hAnsi="宋体" w:eastAsia="宋体" w:cs="Arial"/>
                <w:color w:val="auto"/>
                <w:spacing w:val="-6"/>
                <w:kern w:val="2"/>
                <w:sz w:val="21"/>
                <w:szCs w:val="21"/>
                <w:lang w:val="en-US" w:eastAsia="zh-CN" w:bidi="ar-SA"/>
              </w:rPr>
            </w:pPr>
            <w:r>
              <w:rPr>
                <w:rFonts w:hint="eastAsia" w:ascii="宋体" w:hAnsi="宋体" w:eastAsia="宋体" w:cs="Arial"/>
                <w:color w:val="auto"/>
                <w:spacing w:val="-6"/>
                <w:kern w:val="2"/>
                <w:sz w:val="21"/>
                <w:szCs w:val="21"/>
                <w:lang w:val="en-US" w:eastAsia="zh-CN" w:bidi="ar-SA"/>
              </w:rPr>
              <w:t>QE</w:t>
            </w:r>
            <w:r>
              <w:rPr>
                <w:rFonts w:hint="eastAsia" w:ascii="宋体" w:hAnsi="宋体" w:cs="Arial"/>
                <w:color w:val="auto"/>
                <w:spacing w:val="-6"/>
                <w:kern w:val="2"/>
                <w:sz w:val="21"/>
                <w:szCs w:val="21"/>
                <w:lang w:val="en-US" w:eastAsia="zh-CN" w:bidi="ar-SA"/>
              </w:rPr>
              <w:t>:</w:t>
            </w:r>
            <w:r>
              <w:rPr>
                <w:rFonts w:hint="eastAsia" w:ascii="宋体" w:hAnsi="宋体" w:eastAsia="宋体" w:cs="Arial"/>
                <w:color w:val="auto"/>
                <w:spacing w:val="-6"/>
                <w:kern w:val="2"/>
                <w:sz w:val="21"/>
                <w:szCs w:val="21"/>
                <w:lang w:val="en-US" w:eastAsia="zh-CN" w:bidi="ar-SA"/>
              </w:rPr>
              <w:t>10.2</w:t>
            </w:r>
          </w:p>
        </w:tc>
        <w:tc>
          <w:tcPr>
            <w:tcW w:w="9815" w:type="dxa"/>
            <w:vAlign w:val="top"/>
          </w:tcPr>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 xml:space="preserve">公司建立“不符合、纠正和预防措施控制程序”、“事故调查处理控制程序”，有效文件，无变化。对纠正预防措施识别、评审、验证，事故事件报告、调查、处理等进行了策划。 </w:t>
            </w:r>
          </w:p>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对日常检查和内审、管理评审中提出的不合格项进行了原因分析，并策划纠正措施并实施，对所采取的纠正措施进行验证。</w:t>
            </w:r>
          </w:p>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体系运行以来公司按照体系的要求，通过运行控制、加强培训，以及开展管理评审活动等方式采取预防措施，防止不符合/不合格的发生，不符合得到了有效控制。</w:t>
            </w:r>
          </w:p>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公司成立以来没有发生重大质量事故和投诉处罚，没有发生环境事件和投诉处罚。</w:t>
            </w:r>
          </w:p>
          <w:p>
            <w:pPr>
              <w:keepNext w:val="0"/>
              <w:keepLines w:val="0"/>
              <w:pageBreakBefore w:val="0"/>
              <w:widowControl w:val="0"/>
              <w:kinsoku/>
              <w:wordWrap/>
              <w:overflowPunct/>
              <w:topLinePunct w:val="0"/>
              <w:autoSpaceDE/>
              <w:autoSpaceDN/>
              <w:bidi w:val="0"/>
              <w:adjustRightInd/>
              <w:snapToGrid/>
              <w:spacing w:after="0" w:line="360" w:lineRule="auto"/>
              <w:ind w:firstLine="396" w:firstLineChars="200"/>
              <w:textAlignment w:val="auto"/>
              <w:rPr>
                <w:rFonts w:hint="eastAsia" w:ascii="Times New Roman" w:hAnsi="Times New Roman" w:cs="Times New Roman" w:eastAsiaTheme="minorEastAsia"/>
                <w:color w:val="auto"/>
                <w:kern w:val="2"/>
                <w:sz w:val="21"/>
                <w:szCs w:val="21"/>
                <w:highlight w:val="none"/>
                <w:lang w:val="en-US" w:eastAsia="zh-CN" w:bidi="ar-SA"/>
              </w:rPr>
            </w:pPr>
            <w:r>
              <w:rPr>
                <w:rFonts w:hint="eastAsia" w:ascii="宋体" w:hAnsi="宋体" w:cs="Arial"/>
                <w:color w:val="auto"/>
                <w:spacing w:val="-6"/>
                <w:sz w:val="21"/>
                <w:szCs w:val="21"/>
                <w:highlight w:val="none"/>
                <w:lang w:val="en-US" w:eastAsia="zh-CN"/>
              </w:rPr>
              <w:t>基本符合标准规定要求。</w:t>
            </w:r>
          </w:p>
        </w:tc>
        <w:tc>
          <w:tcPr>
            <w:tcW w:w="1585" w:type="dxa"/>
            <w:vAlign w:val="top"/>
          </w:tcPr>
          <w:p>
            <w:pPr>
              <w:keepNext w:val="0"/>
              <w:keepLines w:val="0"/>
              <w:pageBreakBefore w:val="0"/>
              <w:widowControl w:val="0"/>
              <w:kinsoku/>
              <w:wordWrap/>
              <w:overflowPunct/>
              <w:topLinePunct w:val="0"/>
              <w:autoSpaceDE/>
              <w:autoSpaceDN/>
              <w:bidi w:val="0"/>
              <w:spacing w:after="0" w:line="360" w:lineRule="auto"/>
              <w:rPr>
                <w:rFonts w:hint="eastAsia" w:ascii="Times New Roman" w:hAnsi="Times New Roman" w:eastAsia="宋体" w:cs="Times New Roman"/>
                <w:kern w:val="2"/>
                <w:sz w:val="21"/>
                <w:lang w:val="en-US" w:eastAsia="zh-CN" w:bidi="ar-SA"/>
              </w:rPr>
            </w:pPr>
            <w:r>
              <w:rPr>
                <w:rFonts w:hint="eastAsia"/>
                <w:lang w:val="en-US" w:eastAsia="zh-CN"/>
              </w:rPr>
              <w:t>Y</w:t>
            </w:r>
          </w:p>
        </w:tc>
      </w:tr>
    </w:tbl>
    <w:p>
      <w: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mc:AlternateContent>
        <mc:Choice Requires="wps">
          <w:drawing>
            <wp:anchor distT="0" distB="0" distL="114300" distR="114300" simplePos="0" relativeHeight="251658240" behindDoc="0" locked="0" layoutInCell="1" allowOverlap="1">
              <wp:simplePos x="0" y="0"/>
              <wp:positionH relativeFrom="column">
                <wp:posOffset>7879080</wp:posOffset>
              </wp:positionH>
              <wp:positionV relativeFrom="paragraph">
                <wp:posOffset>159385</wp:posOffset>
              </wp:positionV>
              <wp:extent cx="1304290" cy="256540"/>
              <wp:effectExtent l="0" t="0" r="10160" b="10160"/>
              <wp:wrapNone/>
              <wp:docPr id="2"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rFonts w:hint="eastAsia"/>
                              <w:sz w:val="18"/>
                              <w:szCs w:val="18"/>
                            </w:rPr>
                          </w:pPr>
                          <w:r>
                            <w:rPr>
                              <w:rFonts w:hint="eastAsia"/>
                              <w:sz w:val="18"/>
                              <w:szCs w:val="18"/>
                            </w:rPr>
                            <w:t>ISC-B-II-12(05版）</w:t>
                          </w:r>
                        </w:p>
                      </w:txbxContent>
                    </wps:txbx>
                    <wps:bodyPr upright="1"/>
                  </wps:wsp>
                </a:graphicData>
              </a:graphic>
            </wp:anchor>
          </w:drawing>
        </mc:Choice>
        <mc:Fallback>
          <w:pict>
            <v:shape id="文本框 1" o:spid="_x0000_s1026" o:spt="202" type="#_x0000_t202" style="position:absolute;left:0pt;margin-left:620.4pt;margin-top:12.55pt;height:20.2pt;width:102.7pt;z-index:251658240;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QfhE2AAAAAsBAAAPAAAAAAAAAAEAIAAAACIAAABkcnMvZG93bnJldi54&#10;bWxQSwECFAAUAAAACACHTuJAhYp7ksEBAAB3AwAADgAAAAAAAAABACAAAAAnAQAAZHJzL2Uyb0Rv&#10;Yy54bWxQSwUGAAAAAAYABgBZAQAAWgUAAAAA&#10;">
              <v:fill on="t" focussize="0,0"/>
              <v:stroke on="f"/>
              <v:imagedata o:title=""/>
              <o:lock v:ext="edit" aspectratio="f"/>
              <v:textbox>
                <w:txbxContent>
                  <w:p>
                    <w:pPr>
                      <w:rPr>
                        <w:rFonts w:hint="eastAsia"/>
                        <w:sz w:val="18"/>
                        <w:szCs w:val="18"/>
                      </w:rPr>
                    </w:pPr>
                    <w:r>
                      <w:rPr>
                        <w:rFonts w:hint="eastAsia"/>
                        <w:sz w:val="18"/>
                        <w:szCs w:val="18"/>
                      </w:rPr>
                      <w:t>ISC-B-II-12(05版）</w:t>
                    </w:r>
                  </w:p>
                </w:txbxContent>
              </v:textbox>
            </v:shape>
          </w:pict>
        </mc:Fallback>
      </mc:AlternateConten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ind w:firstLine="756" w:firstLineChars="400"/>
      <w:jc w:val="left"/>
    </w:pPr>
    <w:r>
      <w:rPr>
        <w:rStyle w:val="12"/>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C32796"/>
    <w:rsid w:val="6182348F"/>
    <w:rsid w:val="664964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semiHidden/>
    <w:unhideWhenUsed/>
    <w:qFormat/>
    <w:uiPriority w:val="99"/>
    <w:pPr>
      <w:spacing w:after="120" w:afterLines="0" w:afterAutospacing="0"/>
      <w:ind w:firstLine="720" w:firstLineChars="200"/>
    </w:pPr>
    <w:rPr>
      <w:rFonts w:ascii="Times New Roman" w:hAnsi="Times New Roman" w:eastAsia="宋体" w:cs="Times New Roman"/>
      <w:sz w:val="21"/>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99"/>
    <w:rPr>
      <w:rFonts w:ascii="Times New Roman" w:hAnsi="Times New Roman" w:eastAsia="宋体" w:cs="Times New Roman"/>
      <w:sz w:val="18"/>
      <w:szCs w:val="18"/>
    </w:rPr>
  </w:style>
  <w:style w:type="character" w:customStyle="1" w:styleId="10">
    <w:name w:val="页脚 字符"/>
    <w:basedOn w:val="8"/>
    <w:link w:val="5"/>
    <w:qFormat/>
    <w:uiPriority w:val="99"/>
    <w:rPr>
      <w:rFonts w:ascii="Times New Roman" w:hAnsi="Times New Roman" w:eastAsia="宋体" w:cs="Times New Roman"/>
      <w:sz w:val="18"/>
      <w:szCs w:val="18"/>
    </w:rPr>
  </w:style>
  <w:style w:type="character" w:customStyle="1" w:styleId="11">
    <w:name w:val="批注框文本 字符"/>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10</TotalTime>
  <ScaleCrop>false</ScaleCrop>
  <LinksUpToDate>false</LinksUpToDate>
  <CharactersWithSpaces>147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lenovo1018</cp:lastModifiedBy>
  <dcterms:modified xsi:type="dcterms:W3CDTF">2021-11-14T01:19:43Z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2052-11.1.0.10314</vt:lpwstr>
  </property>
</Properties>
</file>