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833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重庆兴宏园林景观绿化工程有限公司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after="120" w:line="220" w:lineRule="exact"/>
              <w:ind w:left="52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专业小类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after="120" w:line="220" w:lineRule="exact"/>
              <w:ind w:left="52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after="120" w:line="220" w:lineRule="exact"/>
              <w:ind w:left="52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</w:rPr>
            </w:pPr>
            <w:bookmarkStart w:id="8" w:name="专业代码"/>
            <w:r>
              <w:rPr>
                <w:rFonts w:ascii="Times New Roman" w:hAnsi="Times New Roman" w:cs="Times New Roman"/>
                <w:b/>
                <w:sz w:val="20"/>
              </w:rPr>
              <w:t>Q：35.17.00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after="120" w:line="220" w:lineRule="exact"/>
              <w:ind w:left="52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E：35.17.00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after="120" w:line="220" w:lineRule="exact"/>
              <w:ind w:left="52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O：35.17.00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after="120" w:line="22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Q：35.17.00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after="120" w:line="22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E：35.17.00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after="120" w:line="22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O：35.17.00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41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833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园林绿化综合养护：合同签订—养护方案拟定—日常养护—养护质量检查。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园林绿化工程施工：合同签订—施工方案拟定—清理场地—场地平整—放线定点—苗木种植—后续维护。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服务过程的风险：不满足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客户质量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要求，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交付期无法履行客户要求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主要质量要求：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栽种位置、植物品种、养护频次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、苗木成活率等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关键控制点：作业规范、顾客投诉。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21"/>
                <w:szCs w:val="21"/>
              </w:rPr>
              <w:t>重要环境</w:t>
            </w:r>
            <w:r>
              <w:rPr>
                <w:rFonts w:hint="eastAsia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因素：</w:t>
            </w:r>
            <w:r>
              <w:rPr>
                <w:rFonts w:hint="eastAsia" w:eastAsia="宋体"/>
                <w:b w:val="0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）火灾；2）固废；3）噪声；4）粉尘；5）农药等泄漏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不可接受风险：火灾、机械伤害、物体打击、触电、中毒、中暑、车辆伤害。制订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21"/>
                <w:szCs w:val="21"/>
              </w:rPr>
              <w:t>园林绿化养护标准CJJ/T287-2018、重庆市道路绿地养护质量要求DB50/T460-2012、建设工程质量管理条例、工程设计文件、养护方案、施工方案及客户的技术要求。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eastAsia="宋体"/>
                <w:b w:val="0"/>
                <w:bCs/>
                <w:color w:val="auto"/>
                <w:sz w:val="21"/>
                <w:szCs w:val="21"/>
              </w:rPr>
              <w:t>型式试验要求</w:t>
            </w:r>
            <w:r>
              <w:rPr>
                <w:rFonts w:hint="eastAsia" w:eastAsia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主要检查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有无枯枝败叶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病虫害</w:t>
            </w:r>
            <w:bookmarkStart w:id="9" w:name="_GoBack"/>
            <w:bookmarkEnd w:id="9"/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、苗木成活率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养护频次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127000</wp:posOffset>
                  </wp:positionV>
                  <wp:extent cx="411480" cy="381000"/>
                  <wp:effectExtent l="0" t="0" r="7620" b="0"/>
                  <wp:wrapNone/>
                  <wp:docPr id="2" name="图片 3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2021年11月1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170815</wp:posOffset>
                  </wp:positionV>
                  <wp:extent cx="411480" cy="381000"/>
                  <wp:effectExtent l="0" t="0" r="7620" b="0"/>
                  <wp:wrapNone/>
                  <wp:docPr id="1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2021年11月1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  <w:rPr>
        <w:sz w:val="20"/>
      </w:rPr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3B60802"/>
    <w:rsid w:val="35CB3AD6"/>
    <w:rsid w:val="3E5C72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2021-11-15T01:56:05Z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