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0625-2020-E-2021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河北北铭光电设备股份有限公司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河北北铭光电设备股份有限公司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河北省沧州市任丘市麻家坞镇刘泊村村西</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河北省沧州市任丘市麻家坞镇刘泊村村西</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何玉峰</w:t>
            </w:r>
            <w:bookmarkEnd w:id="10"/>
          </w:p>
        </w:tc>
        <w:tc>
          <w:tcPr>
            <w:tcW w:w="1313" w:type="dxa"/>
            <w:vAlign w:val="center"/>
          </w:tcPr>
          <w:p>
            <w:r>
              <w:rPr>
                <w:rFonts w:hint="eastAsia"/>
              </w:rPr>
              <w:t>电话.</w:t>
            </w:r>
          </w:p>
        </w:tc>
        <w:tc>
          <w:tcPr>
            <w:tcW w:w="2180" w:type="dxa"/>
            <w:vAlign w:val="center"/>
          </w:tcPr>
          <w:p>
            <w:bookmarkStart w:id="11" w:name="联系人电话"/>
            <w:r>
              <w:t>18932772229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许建涛</w:t>
            </w:r>
            <w:bookmarkEnd w:id="13"/>
          </w:p>
        </w:tc>
        <w:tc>
          <w:tcPr>
            <w:tcW w:w="1313" w:type="dxa"/>
            <w:vAlign w:val="center"/>
          </w:tcPr>
          <w:p>
            <w:r>
              <w:rPr>
                <w:rFonts w:hint="eastAsia"/>
              </w:rPr>
              <w:t>管理者代表</w:t>
            </w:r>
          </w:p>
        </w:tc>
        <w:tc>
          <w:tcPr>
            <w:tcW w:w="2180" w:type="dxa"/>
          </w:tcPr>
          <w:p>
            <w:bookmarkStart w:id="14" w:name="管理者代表"/>
            <w:r>
              <w:t>何玉峰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972"/>
              </w:tabs>
              <w:spacing w:line="500" w:lineRule="atLeast"/>
              <w:rPr>
                <w:rFonts w:hint="eastAsia" w:ascii="宋体" w:hAnsi="宋体"/>
                <w:sz w:val="24"/>
                <w:szCs w:val="24"/>
              </w:rPr>
            </w:pPr>
            <w:r>
              <w:rPr>
                <w:rFonts w:hint="eastAsia" w:ascii="宋体" w:hAnsi="宋体"/>
                <w:sz w:val="24"/>
                <w:szCs w:val="24"/>
              </w:rPr>
              <w:t>接到订单-评审-签合同-采购-进货(检验)-销售（包括运输送货）-客户签收-满意度调查</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2021年11月12日 上午至2021年11月12日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Times New Roman" w:hAnsi="Times New Roman" w:eastAsia="宋体" w:cs="Times New Roman"/>
                <w:kern w:val="2"/>
                <w:sz w:val="21"/>
                <w:szCs w:val="24"/>
                <w:lang w:val="en-US" w:eastAsia="zh-CN" w:bidi="ar-SA"/>
              </w:rPr>
            </w:pPr>
            <w:r>
              <w:t>河北省沧州市任丘市麻家坞镇刘泊村村西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铁附件、电力标示牌、水泥制品（水泥三盘）的销售所涉及的相关环境管理活动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23-24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31"/>
        <w:gridCol w:w="13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31" w:type="dxa"/>
            <w:shd w:val="clear" w:color="auto" w:fill="F3F3F3"/>
            <w:tcMar>
              <w:left w:w="57" w:type="dxa"/>
              <w:right w:w="57" w:type="dxa"/>
            </w:tcMar>
          </w:tcPr>
          <w:p>
            <w:r>
              <w:rPr>
                <w:rFonts w:hint="eastAsia"/>
              </w:rPr>
              <w:t>审核范围（产品和过程）</w:t>
            </w:r>
          </w:p>
          <w:p/>
          <w:p/>
        </w:tc>
        <w:tc>
          <w:tcPr>
            <w:tcW w:w="13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default" w:eastAsia="宋体"/>
                <w:lang w:val="en-US" w:eastAsia="zh-CN"/>
              </w:rPr>
            </w:pPr>
            <w:r>
              <w:rPr>
                <w:sz w:val="21"/>
                <w:szCs w:val="21"/>
              </w:rPr>
              <w:t>河北北铭光电设备股份有限公司</w:t>
            </w:r>
            <w:r>
              <w:rPr>
                <w:rFonts w:hint="eastAsia"/>
                <w:sz w:val="21"/>
                <w:szCs w:val="21"/>
                <w:lang w:val="en-US" w:eastAsia="zh-CN"/>
              </w:rPr>
              <w:t xml:space="preserve">  </w:t>
            </w:r>
            <w:r>
              <w:rPr>
                <w:rFonts w:asciiTheme="minorEastAsia" w:hAnsiTheme="minorEastAsia" w:eastAsiaTheme="minorEastAsia"/>
                <w:sz w:val="20"/>
              </w:rPr>
              <w:t>河北省沧州市任丘市麻家坞镇刘泊村村西</w:t>
            </w:r>
          </w:p>
        </w:tc>
        <w:tc>
          <w:tcPr>
            <w:tcW w:w="2267" w:type="dxa"/>
          </w:tcPr>
          <w:p>
            <w:pPr>
              <w:rPr>
                <w:lang w:val="de-DE" w:eastAsia="ja-JP"/>
              </w:rPr>
            </w:pPr>
            <w:r>
              <w:rPr>
                <w:rFonts w:asciiTheme="minorEastAsia" w:hAnsiTheme="minorEastAsia" w:eastAsiaTheme="minorEastAsia"/>
                <w:sz w:val="20"/>
              </w:rPr>
              <w:t>河北省沧州市任丘市麻家坞镇刘泊村村西</w:t>
            </w:r>
          </w:p>
        </w:tc>
        <w:tc>
          <w:tcPr>
            <w:tcW w:w="571" w:type="dxa"/>
            <w:vAlign w:val="center"/>
          </w:tcPr>
          <w:p>
            <w:pPr>
              <w:rPr>
                <w:rFonts w:hint="default" w:eastAsia="宋体"/>
                <w:lang w:val="en-US" w:eastAsia="zh-CN"/>
              </w:rPr>
            </w:pPr>
            <w:r>
              <w:rPr>
                <w:rFonts w:hint="eastAsia"/>
                <w:lang w:val="en-US" w:eastAsia="zh-CN"/>
              </w:rPr>
              <w:t>25</w:t>
            </w:r>
          </w:p>
        </w:tc>
        <w:tc>
          <w:tcPr>
            <w:tcW w:w="2131" w:type="dxa"/>
            <w:vAlign w:val="center"/>
          </w:tcPr>
          <w:p>
            <w:pPr>
              <w:rPr>
                <w:rFonts w:ascii="Times New Roman" w:hAnsi="Times New Roman" w:eastAsia="宋体" w:cs="Times New Roman"/>
                <w:kern w:val="2"/>
                <w:sz w:val="20"/>
                <w:szCs w:val="24"/>
                <w:lang w:val="en-US" w:eastAsia="ja-JP" w:bidi="ar-SA"/>
              </w:rPr>
            </w:pPr>
            <w:r>
              <w:rPr>
                <w:sz w:val="20"/>
              </w:rPr>
              <w:t>铁附件、电力标示牌、水泥制品（水泥三盘）的销售所涉及的相关环境管理活动</w:t>
            </w:r>
          </w:p>
        </w:tc>
        <w:tc>
          <w:tcPr>
            <w:tcW w:w="1341" w:type="dxa"/>
            <w:vAlign w:val="center"/>
          </w:tcPr>
          <w:p>
            <w:pPr>
              <w:rPr>
                <w:lang w:eastAsia="ja-JP"/>
              </w:rPr>
            </w:pPr>
            <w:r>
              <w:rPr>
                <w:rFonts w:hint="eastAsia"/>
                <w:lang w:val="de-DE"/>
              </w:rPr>
              <w:t>GB/T24001-2016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31" w:type="dxa"/>
            <w:vAlign w:val="center"/>
          </w:tcPr>
          <w:p>
            <w:pPr>
              <w:rPr>
                <w:lang w:eastAsia="ja-JP"/>
              </w:rPr>
            </w:pPr>
          </w:p>
        </w:tc>
        <w:tc>
          <w:tcPr>
            <w:tcW w:w="13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31" w:type="dxa"/>
            <w:vAlign w:val="center"/>
          </w:tcPr>
          <w:p>
            <w:pPr>
              <w:rPr>
                <w:lang w:eastAsia="ja-JP"/>
              </w:rPr>
            </w:pPr>
          </w:p>
        </w:tc>
        <w:tc>
          <w:tcPr>
            <w:tcW w:w="13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rPr>
                <w:rFonts w:ascii="Times New Roman" w:hAnsi="Times New Roman" w:eastAsia="宋体" w:cs="Times New Roman"/>
                <w:kern w:val="2"/>
                <w:sz w:val="20"/>
                <w:szCs w:val="24"/>
                <w:lang w:val="en-US" w:eastAsia="zh-CN" w:bidi="ar-SA"/>
              </w:rPr>
            </w:pPr>
            <w:r>
              <w:rPr>
                <w:sz w:val="20"/>
              </w:rPr>
              <w:t>铁附件、电力标示牌、水泥制品（水泥三盘）的销售所涉及的相关环境管理活动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inline distT="0" distB="0" distL="114300" distR="114300">
                  <wp:extent cx="596900" cy="225425"/>
                  <wp:effectExtent l="0" t="0" r="0" b="3175"/>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6"/>
                          <a:stretch>
                            <a:fillRect/>
                          </a:stretch>
                        </pic:blipFill>
                        <pic:spPr>
                          <a:xfrm>
                            <a:off x="0" y="0"/>
                            <a:ext cx="596900" cy="22542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政治 □监管  □财务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A3"/>
            </w: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□人员培训 □其他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最高管理者制定了文件化的管理体系方针：</w:t>
            </w:r>
            <w:r>
              <w:rPr>
                <w:rFonts w:hint="eastAsia"/>
                <w:u w:val="single"/>
              </w:rPr>
              <w:t xml:space="preserve"> 优质服务、业主满意、环保达标、遵规守法、持续改进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rPr>
              <w:t>EMS的主管部门是——</w:t>
            </w:r>
            <w:r>
              <w:rPr>
                <w:rFonts w:hint="eastAsia"/>
                <w:lang w:val="en-US" w:eastAsia="zh-CN"/>
              </w:rPr>
              <w:t>行政部</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人员素质参差不齐，环保意识不强，对岗位环境因素认识不足，控制方法不明确；</w:t>
                  </w:r>
                </w:p>
              </w:tc>
              <w:tc>
                <w:tcPr>
                  <w:tcW w:w="3965" w:type="dxa"/>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制定相应管理文件，组织员工参与岗位环境因素的识别，岗位重要因素的培训</w:t>
                  </w: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right="0"/>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未履行合规义务可损害组织的声誉或导致诉讼；</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加强对法律法规执行，遵守法规要求，更多地履行合规义务，能够提升组织的声誉</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w:t>
            </w:r>
            <w:r>
              <w:rPr>
                <w:rFonts w:hint="eastAsia" w:ascii="Times New Roman" w:hAnsi="Times New Roman" w:eastAsia="宋体" w:cs="Times New Roman"/>
              </w:rPr>
              <w:t>要环境因素包括</w:t>
            </w:r>
            <w:r>
              <w:rPr>
                <w:rFonts w:hint="eastAsia"/>
              </w:rPr>
              <w:t>(必要时，按每个场所来描述):（不必全选）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A3"/>
            </w:r>
            <w:r>
              <w:rPr>
                <w:rFonts w:hint="eastAsia"/>
              </w:rPr>
              <w:t xml:space="preserve">能源消耗  </w:t>
            </w:r>
            <w:r>
              <w:rPr>
                <w:rFonts w:hint="eastAsia"/>
              </w:rPr>
              <w:sym w:font="Wingdings 2" w:char="00A3"/>
            </w:r>
            <w:r>
              <w:rPr>
                <w:rFonts w:hint="eastAsia"/>
              </w:rPr>
              <w:t xml:space="preserve">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52"/>
            </w:r>
            <w:r>
              <w:rPr>
                <w:rFonts w:hint="eastAsia"/>
                <w:lang w:val="en-US" w:eastAsia="zh-CN"/>
              </w:rPr>
              <w:t>固体废弃物</w:t>
            </w:r>
            <w:r>
              <w:rPr>
                <w:rFonts w:hint="eastAsia"/>
              </w:rPr>
              <w:t xml:space="preserve">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环境影响报告表日期：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w:t>
            </w:r>
            <w:r>
              <w:rPr>
                <w:rFonts w:hint="eastAsia"/>
                <w:lang w:val="en-US" w:eastAsia="zh-CN"/>
              </w:rPr>
              <w:t>保护验收报告</w:t>
            </w:r>
            <w:r>
              <w:rPr>
                <w:rFonts w:hint="eastAsia"/>
              </w:rPr>
              <w:t>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A3"/>
            </w:r>
            <w:r>
              <w:rPr>
                <w:rFonts w:hint="eastAsia"/>
              </w:rPr>
              <w:t xml:space="preserve">使用节能设备  </w:t>
            </w:r>
            <w:r>
              <w:rPr>
                <w:rFonts w:hint="eastAsia"/>
              </w:rPr>
              <w:sym w:font="Wingdings 2" w:char="00A3"/>
            </w:r>
            <w:r>
              <w:rPr>
                <w:rFonts w:hint="eastAsia"/>
              </w:rPr>
              <w:t xml:space="preserve">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固体废弃物100％收集处置</w:t>
                  </w:r>
                </w:p>
              </w:tc>
              <w:tc>
                <w:tcPr>
                  <w:tcW w:w="3136" w:type="dxa"/>
                  <w:shd w:val="clear" w:color="auto" w:fill="auto"/>
                  <w:vAlign w:val="center"/>
                </w:tcPr>
                <w:p>
                  <w:pPr>
                    <w:keepNext w:val="0"/>
                    <w:keepLines w:val="0"/>
                    <w:widowControl/>
                    <w:suppressLineNumbers w:val="0"/>
                    <w:jc w:val="left"/>
                    <w:textAlignment w:val="center"/>
                    <w:rPr>
                      <w:rFonts w:hint="default"/>
                      <w:lang w:val="en-GB"/>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火灾事故为0</w:t>
                  </w: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rPr>
              <w:sym w:font="Wingdings 2" w:char="0052"/>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cs="Times New Roman"/>
                <w:lang w:val="en-US" w:eastAsia="zh-CN"/>
              </w:rPr>
              <w:t>办公室面积</w:t>
            </w:r>
            <w:r>
              <w:rPr>
                <w:rFonts w:hint="eastAsia" w:ascii="Times New Roman" w:hAnsi="Times New Roman" w:eastAsia="宋体" w:cs="Times New Roman"/>
                <w:lang w:val="en-US" w:eastAsia="zh-CN"/>
              </w:rPr>
              <w:t>约2</w:t>
            </w:r>
            <w:r>
              <w:rPr>
                <w:rFonts w:hint="eastAsia" w:cs="Times New Roman"/>
                <w:lang w:val="en-US" w:eastAsia="zh-CN"/>
              </w:rPr>
              <w:t>00</w:t>
            </w:r>
            <w:r>
              <w:rPr>
                <w:rFonts w:hint="eastAsia" w:ascii="Times New Roman" w:hAnsi="Times New Roman" w:eastAsia="宋体" w:cs="Times New Roman"/>
              </w:rPr>
              <w:t>平方米；</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 xml:space="preserve">设备有： </w:t>
            </w:r>
            <w:r>
              <w:rPr>
                <w:rFonts w:hint="eastAsia" w:cs="Times New Roman"/>
                <w:lang w:val="en-US" w:eastAsia="zh-CN"/>
              </w:rPr>
              <w:t>电脑、工作桌</w:t>
            </w:r>
            <w:r>
              <w:rPr>
                <w:rFonts w:hint="eastAsia" w:ascii="Times New Roman" w:hAnsi="Times New Roman" w:eastAsia="宋体" w:cs="Times New Roman"/>
              </w:rPr>
              <w:t xml:space="preserve"> </w:t>
            </w:r>
            <w:r>
              <w:rPr>
                <w:rFonts w:hint="eastAsia" w:cs="Times New Roman"/>
                <w:lang w:eastAsia="zh-CN"/>
              </w:rPr>
              <w:t>、</w:t>
            </w:r>
            <w:r>
              <w:rPr>
                <w:rFonts w:hint="eastAsia" w:cs="Times New Roman"/>
                <w:lang w:val="en-US" w:eastAsia="zh-CN"/>
              </w:rPr>
              <w:t>打印机等</w:t>
            </w:r>
            <w:r>
              <w:rPr>
                <w:rFonts w:hint="eastAsia" w:ascii="Times New Roman" w:hAnsi="Times New Roman" w:eastAsia="宋体" w:cs="Times New Roman"/>
              </w:rPr>
              <w:t xml:space="preserve"> （列举2~4种）</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特种设备：叉车 ¨行车 锅炉 电梯  ¨压力容器  ¨压力管道  ¨不适用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特种设备管理：进行了定期检验  ¨未进行定期检验的有：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基础设施可满足质量管理体系运行；</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 xml:space="preserve">基础设施可基本满足质量管理体系运行，但是还有不足需要补充：           </w:t>
            </w:r>
          </w:p>
          <w:p>
            <w:pPr>
              <w:shd w:val="clear" w:color="auto" w:fill="EBF1DE" w:themeFill="accent3" w:themeFillTint="32"/>
              <w:rPr>
                <w:rFonts w:hint="default"/>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Times New Roman" w:hAnsi="Times New Roman" w:eastAsia="宋体" w:cs="Times New Roman"/>
              </w:rPr>
              <w:t>■</w:t>
            </w:r>
            <w:r>
              <w:rPr>
                <w:rFonts w:hint="eastAsia"/>
              </w:rPr>
              <w:t xml:space="preserve">会议传达 标语  </w:t>
            </w:r>
            <w:r>
              <w:rPr>
                <w:rFonts w:hint="eastAsia" w:ascii="Times New Roman" w:hAnsi="Times New Roman" w:eastAsia="宋体" w:cs="Times New Roman"/>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w:t>
            </w:r>
            <w:r>
              <w:rPr>
                <w:rFonts w:hint="eastAsia"/>
                <w:lang w:val="en-US" w:eastAsia="zh-CN"/>
              </w:rPr>
              <w:t>服务</w:t>
            </w:r>
            <w:r>
              <w:rPr>
                <w:rFonts w:hint="eastAsia"/>
              </w:rPr>
              <w:t xml:space="preserve">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固废排放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 xml:space="preserve"> 加强分类管理</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火灾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危化品：符合要求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ascii="宋体" w:hAnsi="宋体" w:cs="宋体"/>
                <w:color w:val="000000" w:themeColor="text1"/>
                <w:szCs w:val="21"/>
              </w:rPr>
              <w:t>消防演练</w:t>
            </w:r>
            <w:r>
              <w:rPr>
                <w:rFonts w:hint="eastAsia"/>
              </w:rPr>
              <w:t xml:space="preserve">；并总结了预案的可行性和有效性。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实施的检测：企业自检 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达标评价：符合要求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若是组织多场所/临时场所：（按照组织的实际情况选择）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内审贯穿了多场所/临时现场，内审的验证结论是正面的。管理者代表相应的职权覆盖了所有的场所。）</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若是多班次操作：（按照组织的实际情况选择）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对所有班次的现场操作已审核。</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改进</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8"/>
        <w:tblW w:w="102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2436"/>
        <w:gridCol w:w="787"/>
        <w:gridCol w:w="788"/>
        <w:gridCol w:w="787"/>
        <w:gridCol w:w="788"/>
        <w:gridCol w:w="788"/>
        <w:gridCol w:w="787"/>
        <w:gridCol w:w="788"/>
        <w:gridCol w:w="787"/>
        <w:gridCol w:w="78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wBefore w:w="0" w:type="auto"/>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9"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08"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wBefore w:w="0" w:type="auto"/>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8"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wBefore w:w="0" w:type="auto"/>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9" w:type="dxa"/>
            <w:shd w:val="clear" w:color="auto" w:fill="EBF1DE" w:themeFill="accent3" w:themeFillTint="32"/>
            <w:vAlign w:val="center"/>
          </w:tcPr>
          <w:p>
            <w:pPr>
              <w:shd w:val="clear" w:color="auto" w:fill="EBF1DE" w:themeFill="accent3" w:themeFillTint="32"/>
              <w:rPr>
                <w:lang w:eastAsia="ja-JP"/>
              </w:rPr>
            </w:pPr>
          </w:p>
        </w:tc>
        <w:tc>
          <w:tcPr>
            <w:tcW w:w="708"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wBefore w:w="0" w:type="auto"/>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9"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08"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wBefore w:w="0" w:type="auto"/>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wBefore w:w="0" w:type="auto"/>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9" w:type="dxa"/>
            <w:shd w:val="clear" w:color="auto" w:fill="EBF1DE" w:themeFill="accent3" w:themeFillTint="32"/>
            <w:vAlign w:val="center"/>
          </w:tcPr>
          <w:p>
            <w:pPr>
              <w:shd w:val="clear" w:color="auto" w:fill="EBF1DE" w:themeFill="accent3" w:themeFillTint="32"/>
              <w:rPr>
                <w:lang w:eastAsia="ja-JP"/>
              </w:rPr>
            </w:pPr>
          </w:p>
        </w:tc>
        <w:tc>
          <w:tcPr>
            <w:tcW w:w="708"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72E78"/>
    <w:rsid w:val="49BD4ED7"/>
    <w:rsid w:val="4CA12675"/>
    <w:rsid w:val="51BA4932"/>
    <w:rsid w:val="65BC5C6A"/>
    <w:rsid w:val="70F23777"/>
    <w:rsid w:val="71E03B95"/>
    <w:rsid w:val="754E6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2021-11-15T08:06:34Z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