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0718-2020-E-2021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昊业电力器材有限公司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昊业电力器材有限公司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河北省任丘市麻家坞镇刘家泊村</w:t>
            </w:r>
            <w:bookmarkEnd w:id="6"/>
          </w:p>
        </w:tc>
        <w:tc>
          <w:tcPr>
            <w:tcW w:w="1242" w:type="dxa"/>
            <w:vMerge w:val="restart"/>
            <w:vAlign w:val="center"/>
          </w:tcPr>
          <w:p>
            <w:r>
              <w:rPr>
                <w:rFonts w:hint="eastAsia"/>
              </w:rPr>
              <w:t>邮编</w:t>
            </w:r>
          </w:p>
        </w:tc>
        <w:tc>
          <w:tcPr>
            <w:tcW w:w="1771" w:type="dxa"/>
          </w:tcPr>
          <w:p>
            <w:bookmarkStart w:id="7" w:name="注册邮编"/>
            <w:r>
              <w:t>062550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任丘市创新大厦A座1601</w:t>
            </w:r>
            <w:bookmarkEnd w:id="8"/>
          </w:p>
        </w:tc>
        <w:tc>
          <w:tcPr>
            <w:tcW w:w="1242" w:type="dxa"/>
            <w:vMerge w:val="continue"/>
            <w:vAlign w:val="center"/>
          </w:tcPr>
          <w:p/>
        </w:tc>
        <w:tc>
          <w:tcPr>
            <w:tcW w:w="1771" w:type="dxa"/>
          </w:tcPr>
          <w:p>
            <w:bookmarkStart w:id="9" w:name="办公邮编"/>
            <w:r>
              <w:t>062550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纪荷叶</w:t>
            </w:r>
            <w:bookmarkEnd w:id="10"/>
          </w:p>
        </w:tc>
        <w:tc>
          <w:tcPr>
            <w:tcW w:w="1313" w:type="dxa"/>
            <w:vAlign w:val="center"/>
          </w:tcPr>
          <w:p>
            <w:r>
              <w:rPr>
                <w:rFonts w:hint="eastAsia"/>
              </w:rPr>
              <w:t>电话.</w:t>
            </w:r>
          </w:p>
        </w:tc>
        <w:tc>
          <w:tcPr>
            <w:tcW w:w="2180" w:type="dxa"/>
            <w:vAlign w:val="center"/>
          </w:tcPr>
          <w:p>
            <w:bookmarkStart w:id="11" w:name="联系人电话"/>
            <w:r>
              <w:t>18831786333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何浩丹</w:t>
            </w:r>
            <w:bookmarkEnd w:id="13"/>
          </w:p>
        </w:tc>
        <w:tc>
          <w:tcPr>
            <w:tcW w:w="1313" w:type="dxa"/>
            <w:vAlign w:val="center"/>
          </w:tcPr>
          <w:p>
            <w:r>
              <w:rPr>
                <w:rFonts w:hint="eastAsia"/>
              </w:rPr>
              <w:t>管理者代表</w:t>
            </w:r>
          </w:p>
        </w:tc>
        <w:tc>
          <w:tcPr>
            <w:tcW w:w="2180" w:type="dxa"/>
          </w:tcPr>
          <w:p>
            <w:bookmarkStart w:id="14" w:name="管理者代表"/>
            <w:r>
              <w:t>纪荷叶</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接到订单-评审-签合同-采购-进货(检验)-销售（包括运输送货）-客户签收-满意度调查</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2021年11月11日 上午至2021年11月11日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任丘市创新大厦A座1601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线路铁附件、标识牌、电力金具、钢绞线的销售及相关的环境管理活动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29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69"/>
        <w:gridCol w:w="590"/>
        <w:gridCol w:w="2030"/>
        <w:gridCol w:w="21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69" w:type="dxa"/>
            <w:shd w:val="clear" w:color="auto" w:fill="F3F3F3"/>
            <w:tcMar>
              <w:left w:w="57" w:type="dxa"/>
              <w:right w:w="57" w:type="dxa"/>
            </w:tcMar>
          </w:tcPr>
          <w:p>
            <w:r>
              <w:rPr>
                <w:rFonts w:hint="eastAsia"/>
              </w:rPr>
              <w:t>经营场所的地址</w:t>
            </w:r>
          </w:p>
          <w:p>
            <w:r>
              <w:rPr>
                <w:rFonts w:hint="eastAsia"/>
              </w:rPr>
              <w:t>（多现场和临时现场）</w:t>
            </w:r>
          </w:p>
        </w:tc>
        <w:tc>
          <w:tcPr>
            <w:tcW w:w="590" w:type="dxa"/>
            <w:shd w:val="clear" w:color="auto" w:fill="F3F3F3"/>
            <w:tcMar>
              <w:left w:w="57" w:type="dxa"/>
              <w:right w:w="57" w:type="dxa"/>
            </w:tcMar>
          </w:tcPr>
          <w:p>
            <w:r>
              <w:rPr>
                <w:rFonts w:hint="eastAsia"/>
              </w:rPr>
              <w:t>员工人数</w:t>
            </w:r>
          </w:p>
        </w:tc>
        <w:tc>
          <w:tcPr>
            <w:tcW w:w="2030" w:type="dxa"/>
            <w:shd w:val="clear" w:color="auto" w:fill="F3F3F3"/>
            <w:tcMar>
              <w:left w:w="57" w:type="dxa"/>
              <w:right w:w="57" w:type="dxa"/>
            </w:tcMar>
          </w:tcPr>
          <w:p>
            <w:r>
              <w:rPr>
                <w:rFonts w:hint="eastAsia"/>
              </w:rPr>
              <w:t>审核范围（产品和过程）</w:t>
            </w:r>
          </w:p>
          <w:p/>
          <w:p/>
        </w:tc>
        <w:tc>
          <w:tcPr>
            <w:tcW w:w="212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昊业电力器材有限公司</w:t>
            </w:r>
            <w:r>
              <w:rPr>
                <w:rFonts w:hint="eastAsia"/>
                <w:lang w:val="en-US" w:eastAsia="zh-CN"/>
              </w:rPr>
              <w:t xml:space="preserve"> </w:t>
            </w:r>
            <w:r>
              <w:t>河北省任丘市麻家坞镇刘家泊村</w:t>
            </w:r>
          </w:p>
        </w:tc>
        <w:tc>
          <w:tcPr>
            <w:tcW w:w="1569" w:type="dxa"/>
          </w:tcPr>
          <w:p>
            <w:pPr>
              <w:rPr>
                <w:lang w:val="de-DE" w:eastAsia="ja-JP"/>
              </w:rPr>
            </w:pPr>
            <w:r>
              <w:t>任丘市创新大厦A座1601</w:t>
            </w:r>
          </w:p>
        </w:tc>
        <w:tc>
          <w:tcPr>
            <w:tcW w:w="590" w:type="dxa"/>
            <w:vAlign w:val="center"/>
          </w:tcPr>
          <w:p>
            <w:pPr>
              <w:rPr>
                <w:rFonts w:hint="default" w:eastAsia="宋体"/>
                <w:lang w:val="en-US" w:eastAsia="zh-CN"/>
              </w:rPr>
            </w:pPr>
            <w:r>
              <w:rPr>
                <w:rFonts w:hint="eastAsia"/>
                <w:lang w:val="en-US" w:eastAsia="zh-CN"/>
              </w:rPr>
              <w:t>25</w:t>
            </w:r>
          </w:p>
        </w:tc>
        <w:tc>
          <w:tcPr>
            <w:tcW w:w="2030" w:type="dxa"/>
            <w:vAlign w:val="center"/>
          </w:tcPr>
          <w:p>
            <w:pPr>
              <w:rPr>
                <w:lang w:eastAsia="ja-JP"/>
              </w:rPr>
            </w:pPr>
            <w:r>
              <w:rPr>
                <w:rFonts w:ascii="宋体" w:hAnsi="宋体" w:cs="宋体"/>
                <w:color w:val="000000"/>
                <w:kern w:val="0"/>
                <w:szCs w:val="21"/>
              </w:rPr>
              <w:t>线路铁附件、标识牌、电力金具、钢绞线的销售及相关的环境管理活动</w:t>
            </w:r>
          </w:p>
        </w:tc>
        <w:tc>
          <w:tcPr>
            <w:tcW w:w="2121" w:type="dxa"/>
            <w:vAlign w:val="center"/>
          </w:tcPr>
          <w:p>
            <w:pPr>
              <w:rPr>
                <w:lang w:eastAsia="ja-JP"/>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5</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569" w:type="dxa"/>
            <w:vAlign w:val="center"/>
          </w:tcPr>
          <w:p>
            <w:pPr>
              <w:rPr>
                <w:lang w:eastAsia="ja-JP"/>
              </w:rPr>
            </w:pPr>
          </w:p>
        </w:tc>
        <w:tc>
          <w:tcPr>
            <w:tcW w:w="590" w:type="dxa"/>
            <w:vAlign w:val="center"/>
          </w:tcPr>
          <w:p>
            <w:pPr>
              <w:rPr>
                <w:lang w:eastAsia="ja-JP"/>
              </w:rPr>
            </w:pPr>
          </w:p>
        </w:tc>
        <w:tc>
          <w:tcPr>
            <w:tcW w:w="2030" w:type="dxa"/>
            <w:vAlign w:val="center"/>
          </w:tcPr>
          <w:p>
            <w:pPr>
              <w:rPr>
                <w:lang w:eastAsia="ja-JP"/>
              </w:rPr>
            </w:pPr>
          </w:p>
        </w:tc>
        <w:tc>
          <w:tcPr>
            <w:tcW w:w="212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569" w:type="dxa"/>
            <w:vAlign w:val="center"/>
          </w:tcPr>
          <w:p>
            <w:pPr>
              <w:rPr>
                <w:lang w:eastAsia="ja-JP"/>
              </w:rPr>
            </w:pPr>
          </w:p>
        </w:tc>
        <w:tc>
          <w:tcPr>
            <w:tcW w:w="590" w:type="dxa"/>
            <w:vAlign w:val="center"/>
          </w:tcPr>
          <w:p>
            <w:pPr>
              <w:rPr>
                <w:lang w:eastAsia="ja-JP"/>
              </w:rPr>
            </w:pPr>
          </w:p>
        </w:tc>
        <w:tc>
          <w:tcPr>
            <w:tcW w:w="2030" w:type="dxa"/>
            <w:vAlign w:val="center"/>
          </w:tcPr>
          <w:p>
            <w:pPr>
              <w:rPr>
                <w:lang w:eastAsia="ja-JP"/>
              </w:rPr>
            </w:pPr>
          </w:p>
        </w:tc>
        <w:tc>
          <w:tcPr>
            <w:tcW w:w="212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569" w:type="dxa"/>
            <w:vAlign w:val="center"/>
          </w:tcPr>
          <w:p>
            <w:pPr>
              <w:rPr>
                <w:lang w:eastAsia="ja-JP"/>
              </w:rPr>
            </w:pPr>
          </w:p>
        </w:tc>
        <w:tc>
          <w:tcPr>
            <w:tcW w:w="590" w:type="dxa"/>
            <w:vAlign w:val="center"/>
          </w:tcPr>
          <w:p>
            <w:pPr>
              <w:rPr>
                <w:lang w:eastAsia="ja-JP"/>
              </w:rPr>
            </w:pPr>
          </w:p>
        </w:tc>
        <w:tc>
          <w:tcPr>
            <w:tcW w:w="2030" w:type="dxa"/>
            <w:vAlign w:val="center"/>
          </w:tcPr>
          <w:p>
            <w:pPr>
              <w:rPr>
                <w:lang w:eastAsia="ja-JP"/>
              </w:rPr>
            </w:pPr>
          </w:p>
        </w:tc>
        <w:tc>
          <w:tcPr>
            <w:tcW w:w="212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569" w:type="dxa"/>
            <w:vAlign w:val="center"/>
          </w:tcPr>
          <w:p>
            <w:pPr>
              <w:rPr>
                <w:lang w:eastAsia="ja-JP"/>
              </w:rPr>
            </w:pPr>
          </w:p>
        </w:tc>
        <w:tc>
          <w:tcPr>
            <w:tcW w:w="590" w:type="dxa"/>
            <w:vAlign w:val="center"/>
          </w:tcPr>
          <w:p>
            <w:pPr>
              <w:rPr>
                <w:lang w:eastAsia="ja-JP"/>
              </w:rPr>
            </w:pPr>
          </w:p>
        </w:tc>
        <w:tc>
          <w:tcPr>
            <w:tcW w:w="2030" w:type="dxa"/>
            <w:vAlign w:val="center"/>
          </w:tcPr>
          <w:p>
            <w:pPr>
              <w:rPr>
                <w:lang w:eastAsia="ja-JP"/>
              </w:rPr>
            </w:pPr>
          </w:p>
        </w:tc>
        <w:tc>
          <w:tcPr>
            <w:tcW w:w="212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组长</w:t>
            </w:r>
          </w:p>
        </w:tc>
        <w:tc>
          <w:tcPr>
            <w:tcW w:w="711" w:type="dxa"/>
            <w:vAlign w:val="center"/>
          </w:tcPr>
          <w:p>
            <w:r>
              <w:t>女</w:t>
            </w:r>
          </w:p>
        </w:tc>
        <w:tc>
          <w:tcPr>
            <w:tcW w:w="3870" w:type="dxa"/>
            <w:vAlign w:val="center"/>
          </w:tcPr>
          <w:p>
            <w:r>
              <w:t>2020-N1EMS-1263722</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ascii="宋体" w:hAnsi="宋体" w:cs="宋体"/>
                <w:color w:val="000000"/>
                <w:kern w:val="0"/>
                <w:szCs w:val="21"/>
              </w:rPr>
              <w:t>线路铁附件、标识牌、电力金具、钢绞线的销售及相关的环境管理活动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inline distT="0" distB="0" distL="114300" distR="114300">
                  <wp:extent cx="918210" cy="213995"/>
                  <wp:effectExtent l="0" t="0" r="8890" b="1905"/>
                  <wp:docPr id="1" name="图片 1"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
                          <pic:cNvPicPr>
                            <a:picLocks noChangeAspect="1"/>
                          </pic:cNvPicPr>
                        </pic:nvPicPr>
                        <pic:blipFill>
                          <a:blip r:embed="rId6"/>
                          <a:stretch>
                            <a:fillRect/>
                          </a:stretch>
                        </pic:blipFill>
                        <pic:spPr>
                          <a:xfrm>
                            <a:off x="0" y="0"/>
                            <a:ext cx="918210" cy="213995"/>
                          </a:xfrm>
                          <a:prstGeom prst="rect">
                            <a:avLst/>
                          </a:prstGeom>
                        </pic:spPr>
                      </pic:pic>
                    </a:graphicData>
                  </a:graphic>
                </wp:inline>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 xml:space="preserve"> 2021.11.27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审核周期</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 </w:t>
            </w:r>
            <w:r>
              <w:rPr>
                <w:rFonts w:hint="eastAsia"/>
              </w:rPr>
              <w:sym w:font="Wingdings 2" w:char="0052"/>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体系要素</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组织环境</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firstLine="1260" w:firstLineChars="600"/>
                    <w:rPr>
                      <w:rFonts w:hint="default"/>
                    </w:rPr>
                  </w:pPr>
                </w:p>
              </w:tc>
              <w:tc>
                <w:tcPr>
                  <w:tcW w:w="7375" w:type="dxa"/>
                </w:tcPr>
                <w:p>
                  <w:pPr>
                    <w:keepNext w:val="0"/>
                    <w:keepLines w:val="0"/>
                    <w:suppressLineNumbers w:val="0"/>
                    <w:shd w:val="clear" w:color="auto" w:fill="EBF1DE" w:themeFill="accent3" w:themeFillTint="32"/>
                    <w:spacing w:before="0" w:beforeAutospacing="0" w:after="0" w:afterAutospacing="0"/>
                    <w:ind w:left="0" w:right="0" w:firstLine="420" w:firstLineChars="200"/>
                    <w:rPr>
                      <w:rFonts w:hint="default"/>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外部环境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内部环境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□绩效 </w:t>
                  </w:r>
                  <w:r>
                    <w:rPr>
                      <w:rFonts w:hint="eastAsia"/>
                    </w:rPr>
                    <w:sym w:font="Wingdings 2" w:char="00A3"/>
                  </w:r>
                  <w:r>
                    <w:rPr>
                      <w:rFonts w:hint="eastAsia"/>
                    </w:rPr>
                    <w:t xml:space="preserve">工艺 □设备 </w:t>
                  </w:r>
                  <w:r>
                    <w:rPr>
                      <w:rFonts w:hint="eastAsia"/>
                    </w:rPr>
                    <w:sym w:font="Wingdings 2" w:char="0052"/>
                  </w:r>
                  <w:r>
                    <w:rPr>
                      <w:rFonts w:hint="eastAsia"/>
                    </w:rPr>
                    <w:t xml:space="preserve">人员能力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default"/>
                    </w:rPr>
                    <w:t>活动、产品和服务</w:t>
                  </w:r>
                  <w:r>
                    <w:rPr>
                      <w:rFonts w:hint="eastAsia"/>
                    </w:rPr>
                    <w:t xml:space="preserve"> </w:t>
                  </w:r>
                  <w:r>
                    <w:rPr>
                      <w:rFonts w:hint="eastAsia"/>
                    </w:rPr>
                    <w:sym w:font="Wingdings 2" w:char="0052"/>
                  </w:r>
                  <w:r>
                    <w:rPr>
                      <w:rFonts w:hint="default"/>
                    </w:rPr>
                    <w:t>战略方向</w:t>
                  </w:r>
                  <w:r>
                    <w:rPr>
                      <w:rFonts w:hint="eastAsia"/>
                    </w:rPr>
                    <w:t xml:space="preserve"> □其他</w:t>
                  </w: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重要的相关方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主管部门</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供方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顾客</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社区</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员工</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□投资方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□其他</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组织运用生命周期观点明确相关环境管理体系的范围；（详见第一条款审核范围）</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已将环境管理体系要求融入到其各项业务过程中，包括：</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A3"/>
            </w:r>
            <w:r>
              <w:rPr>
                <w:rFonts w:hint="eastAsia"/>
              </w:rPr>
              <w:t xml:space="preserve">生产 </w:t>
            </w:r>
            <w:r>
              <w:rPr>
                <w:rFonts w:hint="eastAsia"/>
              </w:rPr>
              <w:sym w:font="Wingdings 2" w:char="00A3"/>
            </w:r>
            <w:r>
              <w:rPr>
                <w:rFonts w:hint="eastAsia"/>
              </w:rPr>
              <w:t xml:space="preserve">检验 □仓库管理 </w:t>
            </w:r>
          </w:p>
          <w:p>
            <w:pPr>
              <w:keepNext w:val="0"/>
              <w:keepLines w:val="0"/>
              <w:suppressLineNumbers w:val="0"/>
              <w:shd w:val="clear" w:color="auto" w:fill="EBF1DE" w:themeFill="accent3" w:themeFillTint="32"/>
              <w:spacing w:before="40" w:beforeAutospacing="0" w:after="40" w:afterAutospacing="0"/>
              <w:ind w:left="0" w:right="0"/>
              <w:rPr>
                <w:rFonts w:hint="default"/>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A3"/>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sym w:font="Wingdings 2" w:char="00A3"/>
            </w:r>
            <w:r>
              <w:rPr>
                <w:rFonts w:hint="eastAsia"/>
              </w:rPr>
              <w:t>环评三同时 □其他</w:t>
            </w:r>
          </w:p>
          <w:p>
            <w:pPr>
              <w:keepNext w:val="0"/>
              <w:keepLines w:val="0"/>
              <w:suppressLineNumbers w:val="0"/>
              <w:shd w:val="clear" w:color="auto" w:fill="EBF1DE" w:themeFill="accent3" w:themeFillTint="32"/>
              <w:spacing w:before="40" w:beforeAutospacing="0" w:after="40" w:afterAutospacing="0"/>
              <w:ind w:left="0" w:right="0"/>
              <w:rPr>
                <w:rFonts w:hint="default"/>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□危险废物处置 □消防检测 □生产/服务过程 □环保监测 </w:t>
            </w:r>
            <w:r>
              <w:rPr>
                <w:rFonts w:hint="eastAsia"/>
              </w:rPr>
              <w:sym w:font="Wingdings 2" w:char="0052"/>
            </w:r>
            <w:r>
              <w:rPr>
                <w:rFonts w:hint="eastAsia"/>
              </w:rPr>
              <w:t>产品运输 □设备维修</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□人员培训 □其他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领导作用</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科学管理，遵守法规，预防污染，持续改进</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最高管理者确定了组织架构及相关岗位的职责、权限，并进行了全员的沟通和理解；</w:t>
            </w:r>
          </w:p>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rPr>
              <w:t>EMS的主管部门是——</w:t>
            </w:r>
            <w:r>
              <w:rPr>
                <w:rFonts w:hint="eastAsia"/>
                <w:lang w:val="en-US" w:eastAsia="zh-CN"/>
              </w:rPr>
              <w:t>办公室</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策划</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color w:val="FF0000"/>
                    </w:rPr>
                  </w:pPr>
                  <w:r>
                    <w:rPr>
                      <w:rFonts w:hint="eastAsia" w:ascii="Times New Roman" w:hAnsi="Times New Roman" w:eastAsia="宋体" w:cs="Times New Roman"/>
                    </w:rPr>
                    <w:t>主要的风险或机遇描述</w:t>
                  </w: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color w:val="FF0000"/>
                    </w:rPr>
                  </w:pPr>
                  <w:r>
                    <w:rPr>
                      <w:rFonts w:hint="eastAsia" w:ascii="Times New Roman" w:hAnsi="Times New Roman" w:eastAsia="宋体" w:cs="Times New Roman"/>
                    </w:rPr>
                    <w:t>应对措施</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rPr>
                      <w:rFonts w:hint="default"/>
                    </w:rPr>
                  </w:pPr>
                  <w:r>
                    <w:rPr>
                      <w:rFonts w:hint="eastAsia" w:cs="宋体"/>
                    </w:rPr>
                    <w:t>本产业技术简单雷同，同类型企业非常多，竞争较为激烈。</w:t>
                  </w:r>
                </w:p>
              </w:tc>
              <w:tc>
                <w:tcPr>
                  <w:tcW w:w="3965" w:type="dxa"/>
                  <w:vAlign w:val="center"/>
                </w:tcPr>
                <w:p>
                  <w:pPr>
                    <w:rPr>
                      <w:rFonts w:hint="eastAsia" w:cs="宋体"/>
                    </w:rPr>
                  </w:pPr>
                  <w:r>
                    <w:rPr>
                      <w:rFonts w:hint="eastAsia" w:cs="宋体"/>
                    </w:rPr>
                    <w:t>产品质量能够满足用户要求；公司主打国内市场开拓力度较大。</w:t>
                  </w:r>
                </w:p>
                <w:p>
                  <w:pPr>
                    <w:keepNext w:val="0"/>
                    <w:keepLines w:val="0"/>
                    <w:widowControl/>
                    <w:suppressLineNumbers w:val="0"/>
                    <w:jc w:val="left"/>
                    <w:textAlignment w:val="center"/>
                    <w:rPr>
                      <w:rFonts w:hint="eastAsia"/>
                      <w:lang w:val="en-US" w:eastAsia="zh-CN"/>
                    </w:rPr>
                  </w:pPr>
                </w:p>
              </w:tc>
              <w:tc>
                <w:tcPr>
                  <w:tcW w:w="1717" w:type="dxa"/>
                  <w:vAlign w:val="top"/>
                </w:tcPr>
                <w:p>
                  <w:pPr>
                    <w:keepNext w:val="0"/>
                    <w:keepLines w:val="0"/>
                    <w:suppressLineNumbers w:val="0"/>
                    <w:shd w:val="clear" w:color="auto" w:fill="EBF1DE" w:themeFill="accent3" w:themeFillTint="32"/>
                    <w:spacing w:before="0" w:beforeAutospacing="0" w:after="0" w:afterAutospacing="0"/>
                    <w:ind w:left="0" w:right="0"/>
                    <w:rPr>
                      <w:rFonts w:hint="default"/>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eastAsia="宋体" w:cs="宋体"/>
                      <w:lang w:eastAsia="zh-CN"/>
                    </w:rPr>
                  </w:pPr>
                  <w:r>
                    <w:rPr>
                      <w:rFonts w:hint="eastAsia" w:cs="宋体"/>
                    </w:rPr>
                    <w:t>回款不稳定。同行业竞争加剧</w:t>
                  </w:r>
                  <w:r>
                    <w:rPr>
                      <w:rFonts w:hint="eastAsia" w:cs="宋体"/>
                      <w:lang w:eastAsia="zh-CN"/>
                    </w:rPr>
                    <w:t>。</w:t>
                  </w:r>
                </w:p>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96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加大市场需求量</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、异常状况和可合理预见的紧急情况。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制订了文件化的评价重要环境因素的准则，重要环境因素已识别，且对它们的重要性和对环境的影响被定期评审和更新。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重</w:t>
            </w:r>
            <w:r>
              <w:rPr>
                <w:rFonts w:hint="eastAsia" w:ascii="Times New Roman" w:hAnsi="Times New Roman" w:eastAsia="宋体" w:cs="Times New Roman"/>
              </w:rPr>
              <w:t>要环境因素包括</w:t>
            </w:r>
            <w:r>
              <w:rPr>
                <w:rFonts w:hint="eastAsia"/>
              </w:rPr>
              <w:t>(必要时，按每个场所来描述):（不必全选）</w:t>
            </w:r>
          </w:p>
          <w:p>
            <w:pPr>
              <w:keepNext w:val="0"/>
              <w:keepLines w:val="0"/>
              <w:suppressLineNumbers w:val="0"/>
              <w:shd w:val="clear" w:color="auto" w:fill="EBF1DE" w:themeFill="accent3" w:themeFillTint="32"/>
              <w:spacing w:before="40" w:beforeAutospacing="0" w:after="40" w:afterAutospacing="0"/>
              <w:ind w:left="0" w:right="0"/>
              <w:rPr>
                <w:rFonts w:hint="default"/>
                <w:highlight w:val="cyan"/>
              </w:rPr>
            </w:pPr>
            <w:r>
              <w:rPr>
                <w:rFonts w:hint="eastAsia"/>
              </w:rPr>
              <w:sym w:font="Wingdings 2" w:char="00A3"/>
            </w:r>
            <w:r>
              <w:rPr>
                <w:rFonts w:hint="eastAsia"/>
              </w:rPr>
              <w:t xml:space="preserve">能源消耗  </w:t>
            </w:r>
            <w:r>
              <w:rPr>
                <w:rFonts w:hint="eastAsia"/>
              </w:rPr>
              <w:sym w:font="Wingdings 2" w:char="00A3"/>
            </w:r>
            <w:r>
              <w:rPr>
                <w:rFonts w:hint="eastAsia"/>
              </w:rPr>
              <w:t xml:space="preserve">资源消耗 </w:t>
            </w:r>
            <w:r>
              <w:rPr>
                <w:rFonts w:hint="eastAsia"/>
              </w:rPr>
              <w:sym w:font="Wingdings 2" w:char="00A3"/>
            </w:r>
            <w:r>
              <w:rPr>
                <w:rFonts w:hint="eastAsia"/>
              </w:rPr>
              <w:t xml:space="preserve">废水排放  </w:t>
            </w:r>
            <w:r>
              <w:rPr>
                <w:rFonts w:hint="eastAsia"/>
              </w:rPr>
              <w:sym w:font="Wingdings 2" w:char="00A3"/>
            </w:r>
            <w:r>
              <w:rPr>
                <w:rFonts w:hint="eastAsia"/>
              </w:rPr>
              <w:t xml:space="preserve">废气排放 </w:t>
            </w:r>
            <w:r>
              <w:rPr>
                <w:rFonts w:hint="eastAsia"/>
              </w:rPr>
              <w:sym w:font="Wingdings 2" w:char="00A3"/>
            </w:r>
            <w:r>
              <w:rPr>
                <w:rFonts w:hint="eastAsia"/>
              </w:rPr>
              <w:t xml:space="preserve">粉尘排放  </w:t>
            </w:r>
            <w:r>
              <w:rPr>
                <w:rFonts w:hint="eastAsia"/>
              </w:rPr>
              <w:sym w:font="Wingdings 2" w:char="0052"/>
            </w:r>
            <w:r>
              <w:rPr>
                <w:rFonts w:hint="eastAsia"/>
                <w:lang w:val="en-US" w:eastAsia="zh-CN"/>
              </w:rPr>
              <w:t>固体废弃物</w:t>
            </w:r>
            <w:r>
              <w:rPr>
                <w:rFonts w:hint="eastAsia"/>
              </w:rPr>
              <w:t xml:space="preserve">排放 </w:t>
            </w:r>
            <w:r>
              <w:rPr>
                <w:rFonts w:hint="eastAsia"/>
              </w:rPr>
              <w:sym w:font="Wingdings 2" w:char="00A3"/>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组织定期确定并获取</w:t>
            </w:r>
            <w:r>
              <w:rPr>
                <w:rFonts w:hint="eastAsia"/>
              </w:rPr>
              <w:t>了</w:t>
            </w:r>
            <w:r>
              <w:rPr>
                <w:rFonts w:hint="default"/>
              </w:rPr>
              <w:t>与其环境因素有关的</w:t>
            </w:r>
            <w:r>
              <w:rPr>
                <w:rFonts w:hint="eastAsia"/>
              </w:rPr>
              <w:t>文件化的</w:t>
            </w:r>
            <w:r>
              <w:rPr>
                <w:rFonts w:hint="default"/>
              </w:rPr>
              <w:t>合规义务； 将这些合规义务应用于组织； 在建立、实施、保持和持续改进其环境管理体系时必须考虑这些合规义务。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w:t>
            </w:r>
            <w:r>
              <w:rPr>
                <w:rFonts w:hint="eastAsia"/>
              </w:rPr>
              <w:t>提供了</w:t>
            </w:r>
            <w:r>
              <w:rPr>
                <w:rFonts w:hint="default"/>
              </w:rPr>
              <w:t>下列许可和授权(必要时，按每个场所来描述):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□安全生产许可证编号：</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 xml:space="preserve">排污许可证编号：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□环境影响登记表日期：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环境影响报告表日期：</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环境</w:t>
            </w:r>
            <w:r>
              <w:rPr>
                <w:rFonts w:hint="eastAsia"/>
                <w:lang w:val="en-US" w:eastAsia="zh-CN"/>
              </w:rPr>
              <w:t>保护验收报告</w:t>
            </w:r>
            <w:r>
              <w:rPr>
                <w:rFonts w:hint="eastAsia"/>
              </w:rPr>
              <w:t>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□消防验收/备案证明日期：</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组织策划并采取措施管理其重要环境因素、合规义务和识别的风险和机遇；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 xml:space="preserve">污水处理  </w:t>
            </w:r>
            <w:r>
              <w:rPr>
                <w:rFonts w:hint="eastAsia"/>
              </w:rPr>
              <w:sym w:font="Wingdings 2" w:char="00A3"/>
            </w:r>
            <w:r>
              <w:rPr>
                <w:rFonts w:hint="eastAsia"/>
              </w:rPr>
              <w:t xml:space="preserve">除尘设备 </w:t>
            </w:r>
            <w:r>
              <w:rPr>
                <w:rFonts w:hint="eastAsia"/>
              </w:rPr>
              <w:sym w:font="Wingdings 2" w:char="00A3"/>
            </w:r>
            <w:r>
              <w:rPr>
                <w:rFonts w:hint="eastAsia"/>
              </w:rPr>
              <w:t xml:space="preserve">设备降噪  </w:t>
            </w:r>
            <w:r>
              <w:rPr>
                <w:rFonts w:hint="eastAsia"/>
              </w:rPr>
              <w:sym w:font="Wingdings 2" w:char="00A3"/>
            </w:r>
            <w:r>
              <w:rPr>
                <w:rFonts w:hint="eastAsia"/>
              </w:rPr>
              <w:t xml:space="preserve">危废合法处置 </w:t>
            </w:r>
            <w:r>
              <w:rPr>
                <w:rFonts w:hint="eastAsia"/>
              </w:rPr>
              <w:sym w:font="Wingdings 2" w:char="00A3"/>
            </w:r>
            <w:r>
              <w:rPr>
                <w:rFonts w:hint="eastAsia"/>
              </w:rPr>
              <w:t xml:space="preserve">使用节能设备  </w:t>
            </w:r>
            <w:r>
              <w:rPr>
                <w:rFonts w:hint="eastAsia"/>
              </w:rPr>
              <w:sym w:font="Wingdings 2" w:char="00A3"/>
            </w:r>
            <w:r>
              <w:rPr>
                <w:rFonts w:hint="eastAsia"/>
              </w:rPr>
              <w:t xml:space="preserve">危化品控制 </w:t>
            </w:r>
          </w:p>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sym w:font="Wingdings 2" w:char="00A3"/>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环境目标</w:t>
                  </w:r>
                </w:p>
              </w:tc>
              <w:tc>
                <w:tcPr>
                  <w:tcW w:w="3136"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控制措施</w:t>
                  </w:r>
                </w:p>
              </w:tc>
              <w:tc>
                <w:tcPr>
                  <w:tcW w:w="1350"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责任部门</w:t>
                  </w:r>
                </w:p>
              </w:tc>
              <w:tc>
                <w:tcPr>
                  <w:tcW w:w="1774"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0"/>
                      <w:szCs w:val="20"/>
                      <w:u w:val="none"/>
                      <w:lang w:val="en-US" w:eastAsia="zh-CN" w:bidi="ar"/>
                    </w:rPr>
                    <w:t>固体废弃物100％收集处置</w:t>
                  </w:r>
                </w:p>
              </w:tc>
              <w:tc>
                <w:tcPr>
                  <w:tcW w:w="3136" w:type="dxa"/>
                  <w:shd w:val="clear" w:color="auto" w:fill="auto"/>
                  <w:vAlign w:val="center"/>
                </w:tcPr>
                <w:p>
                  <w:pPr>
                    <w:keepNext w:val="0"/>
                    <w:keepLines w:val="0"/>
                    <w:widowControl/>
                    <w:suppressLineNumbers w:val="0"/>
                    <w:jc w:val="left"/>
                    <w:textAlignment w:val="center"/>
                    <w:rPr>
                      <w:rFonts w:hint="default"/>
                      <w:lang w:val="en-GB"/>
                    </w:rPr>
                  </w:pPr>
                  <w:r>
                    <w:rPr>
                      <w:rFonts w:hint="eastAsia" w:ascii="宋体" w:hAnsi="宋体" w:eastAsia="宋体" w:cs="宋体"/>
                      <w:i w:val="0"/>
                      <w:iCs w:val="0"/>
                      <w:color w:val="000000"/>
                      <w:kern w:val="0"/>
                      <w:sz w:val="20"/>
                      <w:szCs w:val="20"/>
                      <w:u w:val="none"/>
                      <w:lang w:val="en-US" w:eastAsia="zh-CN" w:bidi="ar"/>
                    </w:rPr>
                    <w:t>实际处理的次数/规定需处理的次数*100%</w:t>
                  </w: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各部门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火灾事故为0</w:t>
                  </w:r>
                </w:p>
              </w:tc>
              <w:tc>
                <w:tcPr>
                  <w:tcW w:w="3136" w:type="dxa"/>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各部门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rPr>
                  </w:pPr>
                </w:p>
              </w:tc>
              <w:tc>
                <w:tcPr>
                  <w:tcW w:w="3136" w:type="dxa"/>
                  <w:shd w:val="clear" w:color="auto" w:fill="auto"/>
                  <w:vAlign w:val="center"/>
                </w:tcPr>
                <w:p>
                  <w:pPr>
                    <w:keepNext w:val="0"/>
                    <w:keepLines w:val="0"/>
                    <w:suppressLineNumbers w:val="0"/>
                    <w:spacing w:before="0" w:beforeAutospacing="0" w:after="0" w:afterAutospacing="0" w:line="400" w:lineRule="exact"/>
                    <w:ind w:left="0" w:right="0"/>
                    <w:rPr>
                      <w:rFonts w:hint="default" w:ascii="宋体" w:hAnsi="宋体" w:eastAsia="宋体"/>
                      <w:szCs w:val="21"/>
                      <w:lang w:val="en-US" w:eastAsia="zh-CN"/>
                    </w:rPr>
                  </w:pP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eastAsia="宋体"/>
                      <w:szCs w:val="21"/>
                      <w:lang w:val="en-US" w:eastAsia="zh-CN"/>
                    </w:rPr>
                  </w:pP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rPr>
                  </w:pPr>
                </w:p>
              </w:tc>
              <w:tc>
                <w:tcPr>
                  <w:tcW w:w="3136" w:type="dxa"/>
                  <w:shd w:val="clear" w:color="auto" w:fill="auto"/>
                  <w:vAlign w:val="center"/>
                </w:tcPr>
                <w:p>
                  <w:pPr>
                    <w:keepNext w:val="0"/>
                    <w:keepLines w:val="0"/>
                    <w:suppressLineNumbers w:val="0"/>
                    <w:spacing w:before="0" w:beforeAutospacing="0" w:after="0" w:afterAutospacing="0" w:line="400" w:lineRule="exact"/>
                    <w:ind w:left="0" w:right="0"/>
                    <w:rPr>
                      <w:rFonts w:hint="default" w:ascii="宋体" w:hAnsi="宋体" w:eastAsia="宋体"/>
                      <w:szCs w:val="21"/>
                      <w:lang w:val="en-US" w:eastAsia="zh-CN"/>
                    </w:rPr>
                  </w:pP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eastAsia="宋体"/>
                      <w:szCs w:val="21"/>
                      <w:lang w:val="en-US" w:eastAsia="zh-CN"/>
                    </w:rPr>
                  </w:pP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lang w:val="en-US" w:eastAsia="zh-CN"/>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目标已实现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支持</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组织的资源状况：</w:t>
            </w:r>
            <w:r>
              <w:rPr>
                <w:rFonts w:hint="eastAsia"/>
              </w:rPr>
              <w:sym w:font="Wingdings 2" w:char="0052"/>
            </w:r>
            <w:r>
              <w:rPr>
                <w:rFonts w:hint="eastAsia"/>
              </w:rPr>
              <w:t xml:space="preserve">人力资源 </w:t>
            </w:r>
            <w:r>
              <w:rPr>
                <w:rFonts w:hint="eastAsia" w:ascii="Wingdings" w:hAnsi="Wingdings"/>
              </w:rPr>
              <w:t>¨</w:t>
            </w:r>
            <w:r>
              <w:rPr>
                <w:rFonts w:hint="eastAsia"/>
              </w:rPr>
              <w:t xml:space="preserve">自然资源 </w:t>
            </w:r>
            <w:r>
              <w:rPr>
                <w:rFonts w:hint="eastAsia"/>
              </w:rPr>
              <w:sym w:font="Wingdings 2" w:char="0052"/>
            </w:r>
            <w:r>
              <w:rPr>
                <w:rFonts w:hint="eastAsia"/>
              </w:rPr>
              <w:t xml:space="preserve">基础设施  </w:t>
            </w:r>
            <w:r>
              <w:rPr>
                <w:rFonts w:hint="eastAsia" w:ascii="Wingdings" w:hAnsi="Wingdings"/>
              </w:rPr>
              <w:t>¨</w:t>
            </w:r>
            <w:r>
              <w:rPr>
                <w:rFonts w:hint="eastAsia"/>
              </w:rPr>
              <w:t xml:space="preserve">技术  </w:t>
            </w:r>
            <w:r>
              <w:rPr>
                <w:rFonts w:hint="eastAsia"/>
              </w:rPr>
              <w:sym w:font="Wingdings 2" w:char="0052"/>
            </w:r>
            <w:r>
              <w:rPr>
                <w:rFonts w:hint="eastAsia"/>
              </w:rPr>
              <w:t>财务资源。</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组织</w:t>
            </w:r>
            <w:r>
              <w:rPr>
                <w:rFonts w:hint="default"/>
              </w:rPr>
              <w:t>现有内部资源的能力</w:t>
            </w:r>
            <w:r>
              <w:rPr>
                <w:rFonts w:hint="eastAsia"/>
              </w:rPr>
              <w:t>可满足环境管理体系运行；</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可基本满足环境管理体系运行，但是还有不足需要补充：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完全不能满足环境管理体系运行，</w:t>
            </w:r>
            <w:r>
              <w:rPr>
                <w:rFonts w:hint="default"/>
              </w:rP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vAlign w:val="top"/>
          </w:tcPr>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ascii="Times New Roman" w:hAnsi="Times New Roman" w:eastAsia="宋体" w:cs="Times New Roman"/>
              </w:rPr>
            </w:pPr>
            <w:r>
              <w:rPr>
                <w:rFonts w:hint="eastAsia" w:cs="Times New Roman"/>
                <w:lang w:val="en-US" w:eastAsia="zh-CN"/>
              </w:rPr>
              <w:t>办公室面积</w:t>
            </w:r>
            <w:r>
              <w:rPr>
                <w:rFonts w:hint="eastAsia" w:ascii="Times New Roman" w:hAnsi="Times New Roman" w:eastAsia="宋体" w:cs="Times New Roman"/>
                <w:lang w:val="en-US" w:eastAsia="zh-CN"/>
              </w:rPr>
              <w:t>约2</w:t>
            </w:r>
            <w:r>
              <w:rPr>
                <w:rFonts w:hint="eastAsia" w:cs="Times New Roman"/>
                <w:lang w:val="en-US" w:eastAsia="zh-CN"/>
              </w:rPr>
              <w:t>00</w:t>
            </w:r>
            <w:r>
              <w:rPr>
                <w:rFonts w:hint="eastAsia" w:ascii="Times New Roman" w:hAnsi="Times New Roman" w:eastAsia="宋体" w:cs="Times New Roman"/>
              </w:rPr>
              <w:t>平方米；</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主要</w:t>
            </w:r>
            <w:r>
              <w:rPr>
                <w:rFonts w:hint="eastAsia" w:cs="Times New Roman"/>
                <w:lang w:val="en-US" w:eastAsia="zh-CN"/>
              </w:rPr>
              <w:t>办公</w:t>
            </w:r>
            <w:r>
              <w:rPr>
                <w:rFonts w:hint="eastAsia" w:ascii="Times New Roman" w:hAnsi="Times New Roman" w:eastAsia="宋体" w:cs="Times New Roman"/>
              </w:rPr>
              <w:t xml:space="preserve">设备有： </w:t>
            </w:r>
            <w:r>
              <w:rPr>
                <w:rFonts w:hint="eastAsia" w:cs="Times New Roman"/>
                <w:lang w:val="en-US" w:eastAsia="zh-CN"/>
              </w:rPr>
              <w:t>电脑、工作桌</w:t>
            </w:r>
            <w:r>
              <w:rPr>
                <w:rFonts w:hint="eastAsia" w:ascii="Times New Roman" w:hAnsi="Times New Roman" w:eastAsia="宋体" w:cs="Times New Roman"/>
              </w:rPr>
              <w:t xml:space="preserve"> </w:t>
            </w:r>
            <w:r>
              <w:rPr>
                <w:rFonts w:hint="eastAsia" w:cs="Times New Roman"/>
                <w:lang w:eastAsia="zh-CN"/>
              </w:rPr>
              <w:t>、</w:t>
            </w:r>
            <w:r>
              <w:rPr>
                <w:rFonts w:hint="eastAsia" w:cs="Times New Roman"/>
                <w:lang w:val="en-US" w:eastAsia="zh-CN"/>
              </w:rPr>
              <w:t>打印机等</w:t>
            </w:r>
            <w:r>
              <w:rPr>
                <w:rFonts w:hint="eastAsia" w:ascii="Times New Roman" w:hAnsi="Times New Roman" w:eastAsia="宋体" w:cs="Times New Roman"/>
              </w:rPr>
              <w:t xml:space="preserve"> （列举2~4种）</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 xml:space="preserve">特种设备：叉车 ¨行车 锅炉 电梯  ¨压力容器  ¨压力管道  ¨不适用  </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 xml:space="preserve">特种设备管理：进行了定期检验  ¨未进行定期检验的有：             </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sym w:font="Wingdings 2" w:char="00A3"/>
            </w:r>
            <w:r>
              <w:rPr>
                <w:rFonts w:hint="eastAsia" w:ascii="Times New Roman" w:hAnsi="Times New Roman" w:eastAsia="宋体" w:cs="Times New Roman"/>
              </w:rPr>
              <w:t>组织</w:t>
            </w:r>
            <w:r>
              <w:rPr>
                <w:rFonts w:ascii="Times New Roman" w:hAnsi="Times New Roman" w:eastAsia="宋体" w:cs="Times New Roman"/>
              </w:rPr>
              <w:t>现有</w:t>
            </w:r>
            <w:r>
              <w:rPr>
                <w:rFonts w:hint="eastAsia" w:ascii="Times New Roman" w:hAnsi="Times New Roman" w:eastAsia="宋体" w:cs="Times New Roman"/>
              </w:rPr>
              <w:t>基础设施可满足质量管理体系运行；</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□组织</w:t>
            </w:r>
            <w:r>
              <w:rPr>
                <w:rFonts w:ascii="Times New Roman" w:hAnsi="Times New Roman" w:eastAsia="宋体" w:cs="Times New Roman"/>
              </w:rPr>
              <w:t>现有</w:t>
            </w:r>
            <w:r>
              <w:rPr>
                <w:rFonts w:hint="eastAsia" w:ascii="Times New Roman" w:hAnsi="Times New Roman" w:eastAsia="宋体" w:cs="Times New Roman"/>
              </w:rPr>
              <w:t xml:space="preserve">基础设施可基本满足质量管理体系运行，但是还有不足需要补充：           </w:t>
            </w:r>
          </w:p>
          <w:p>
            <w:pPr>
              <w:shd w:val="clear" w:color="auto" w:fill="EBF1DE" w:themeFill="accent3" w:themeFillTint="32"/>
              <w:rPr>
                <w:rFonts w:hint="default"/>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计量器具的</w:t>
            </w:r>
            <w:r>
              <w:rPr>
                <w:rFonts w:hint="default"/>
              </w:rPr>
              <w:t>测量溯源</w:t>
            </w:r>
            <w:r>
              <w:rPr>
                <w:rFonts w:hint="eastAsia"/>
              </w:rPr>
              <w:t xml:space="preserve">方法：  </w:t>
            </w:r>
            <w:r>
              <w:rPr>
                <w:rFonts w:hint="eastAsia" w:ascii="Wingdings" w:hAnsi="Wingdings"/>
              </w:rPr>
              <w:t>¨</w:t>
            </w:r>
            <w:r>
              <w:rPr>
                <w:rFonts w:hint="eastAsia"/>
              </w:rPr>
              <w:t xml:space="preserve">自校   外校 </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组织已确定在其控制的工作人员所需具备的能力，并采取措施以获得所需的能力，并评价措施的有效性；</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对国家规定持证上岗的人员资质进行了有效的管理。</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特种作业人员：电工 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特种设备作业人员：叉车工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通过</w:t>
            </w:r>
            <w:r>
              <w:rPr>
                <w:rFonts w:hint="eastAsia" w:ascii="Times New Roman" w:hAnsi="Times New Roman" w:eastAsia="宋体" w:cs="Times New Roman"/>
              </w:rPr>
              <w:t>■</w:t>
            </w:r>
            <w:r>
              <w:rPr>
                <w:rFonts w:hint="eastAsia"/>
              </w:rPr>
              <w:t xml:space="preserve">会议传达 标语  </w:t>
            </w:r>
            <w:r>
              <w:rPr>
                <w:rFonts w:hint="eastAsia" w:ascii="Times New Roman" w:hAnsi="Times New Roman" w:eastAsia="宋体" w:cs="Times New Roman"/>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组织已确定与环境管理体系相关的内部和外部沟通。</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内部沟通方式：■文件发放 ■会议  </w:t>
            </w:r>
            <w:r>
              <w:rPr>
                <w:rFonts w:hint="eastAsia" w:ascii="Times New Roman" w:hAnsi="Times New Roman" w:eastAsia="宋体" w:cs="Times New Roman"/>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外部沟通方式：■宣传材料 网站  </w:t>
            </w:r>
            <w:r>
              <w:rPr>
                <w:rFonts w:hint="eastAsia" w:ascii="Times New Roman" w:hAnsi="Times New Roman" w:eastAsia="宋体" w:cs="Times New Roman"/>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组织已建立了文件化的环境管理体系。对自编文件的编制、审批、发放、变更和作废进行了控制。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对环境相关的外来文件（法律法规、产品标准）进行了识别和贯彻。</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运行</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hd w:val="clear" w:color="auto" w:fill="EBF1DE" w:themeFill="accent3" w:themeFillTint="32"/>
              <w:spacing w:before="0" w:beforeAutospacing="0" w:after="0" w:afterAutospacing="0"/>
              <w:ind w:left="0" w:right="0"/>
              <w:rPr>
                <w:rFonts w:hint="default"/>
                <w:highlight w:val="yellow"/>
              </w:rPr>
            </w:pPr>
            <w:r>
              <w:rPr>
                <w:rFonts w:hint="eastAsia"/>
              </w:rPr>
              <w:t xml:space="preserve"> ■</w:t>
            </w:r>
            <w:r>
              <w:rPr>
                <w:rFonts w:hint="eastAsia"/>
                <w:lang w:val="en-US" w:eastAsia="zh-CN"/>
              </w:rPr>
              <w:t>服务</w:t>
            </w:r>
            <w:r>
              <w:rPr>
                <w:rFonts w:hint="eastAsia"/>
              </w:rPr>
              <w:t xml:space="preserve">流程图 ■作业文件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组织建立并实施了与顾客沟通；如产品和服务的环境信息、顾客财产、应急措施等。</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组织对产品和服务的环境要求进行了评审，确保有能力向顾客提供满足要求的产品和服务。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组织建立、实施和保持了适当的设计和开发过程，以确保后续的产品和服务的提供中满足环境相关的法律法规。（适用时）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审核期间内，设计和开发新产品/项目名称：</w:t>
            </w:r>
            <w:r>
              <w:rPr>
                <w:rFonts w:hint="eastAsia"/>
                <w:u w:val="single"/>
              </w:rPr>
              <w:t xml:space="preserve">                           （</w:t>
            </w:r>
            <w:r>
              <w:rPr>
                <w:rFonts w:hint="eastAsia"/>
              </w:rPr>
              <w:t>举1例）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对该设计和开发的项目对环境因素进行了识别和评价，并制订了控制措施。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设计和开发的环境因素控制：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组织对外部提供的过程、产品（危化品）和服务的供方按照对环境因素的影响程度实施控制。</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外部提供包括：原材料采购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设备维保  ■运输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控制方式：■合同约定 </w:t>
            </w:r>
            <w:r>
              <w:rPr>
                <w:rFonts w:hint="eastAsia" w:ascii="Wingdings" w:hAnsi="Wingdings"/>
              </w:rPr>
              <w:t>¨</w:t>
            </w:r>
            <w:r>
              <w:rPr>
                <w:rFonts w:hint="eastAsia"/>
              </w:rPr>
              <w:t xml:space="preserve">危害告知  ■现场检查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对外部供方的控制：■符合要求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重要环境因素</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控制措施</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r>
                    <w:rPr>
                      <w:rFonts w:hint="eastAsia"/>
                    </w:rPr>
                    <w:t>固废排放</w:t>
                  </w: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 xml:space="preserve"> 加强分类管理</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r>
                    <w:rPr>
                      <w:rFonts w:hint="eastAsia"/>
                    </w:rPr>
                    <w:t>火灾</w:t>
                  </w: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运行检查，查出消防隐患及时整改</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对生产和服务提供过程的环境因素控制■符合要求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组织对生产设备、环保设备、特种设备制订了计划进行了定期的检查、保养和维修；运行完好</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特种设备管理：进行了定期检验  </w:t>
            </w:r>
            <w:r>
              <w:rPr>
                <w:rFonts w:hint="eastAsia" w:ascii="Wingdings" w:hAnsi="Wingdings"/>
              </w:rPr>
              <w:t>¨</w:t>
            </w:r>
            <w:r>
              <w:rPr>
                <w:rFonts w:hint="eastAsia"/>
              </w:rPr>
              <w:t xml:space="preserve">未进行定期检验的有：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组织在生产和服务提供的整个过程中对危化品特性的进行了标识。</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采用的标识方式：</w:t>
            </w:r>
            <w:r>
              <w:rPr>
                <w:rFonts w:hint="eastAsia" w:ascii="Wingdings" w:hAnsi="Wingdings"/>
              </w:rPr>
              <w:t>¨</w:t>
            </w:r>
            <w:r>
              <w:rPr>
                <w:rFonts w:hint="eastAsia"/>
              </w:rPr>
              <w:t xml:space="preserve">MSDS 危害告知标牌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组织应在生产和服务提供期间对危化品的采购、运输、使用、储存的环境因素进行控制，以确保符合MSDS和法规要求。 </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危化品：符合要求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组织对产品和服务交付后活动的要求。 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制订的应急预案包括：</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lang w:val="en-US" w:eastAsia="zh-CN"/>
              </w:rPr>
              <w:t>9</w:t>
            </w:r>
            <w:r>
              <w:rPr>
                <w:rFonts w:hint="eastAsia"/>
              </w:rPr>
              <w:t>月</w:t>
            </w:r>
            <w:r>
              <w:rPr>
                <w:rFonts w:hint="eastAsia"/>
                <w:u w:val="single"/>
              </w:rPr>
              <w:t xml:space="preserve"> </w:t>
            </w:r>
            <w:r>
              <w:rPr>
                <w:rFonts w:hint="eastAsia"/>
                <w:u w:val="single"/>
                <w:lang w:val="en-US" w:eastAsia="zh-CN"/>
              </w:rPr>
              <w:t>28</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ascii="宋体" w:hAnsi="宋体" w:cs="宋体"/>
                <w:color w:val="000000" w:themeColor="text1"/>
                <w:szCs w:val="21"/>
              </w:rPr>
              <w:t>消防演练</w:t>
            </w:r>
            <w:r>
              <w:rPr>
                <w:rFonts w:hint="eastAsia"/>
              </w:rPr>
              <w:t xml:space="preserve">；并总结了预案的可行性和有效性。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定期评审并修订过程和策划的响应措施，特别是发生紧急情况后或进行试验后；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向环境有关的相关方，包括在组织控制下工作的人员提供应急准备和响应相关的信息和培训。</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绩效评价</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组织已分析和评价通过监视和测量获得的适当的数据和信息。</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组织已建立、实施并保持评价其合规义务履行情况所需的过程。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实施合规性评价的时间：</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23</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组织在适当阶段实施策划的安排，以验证环境法律法规的要求已得到满足。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实施的检测：企业自检 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w:t>
            </w:r>
            <w:r>
              <w:rPr>
                <w:rFonts w:hint="eastAsia"/>
                <w:lang w:val="en-US" w:eastAsia="zh-CN"/>
              </w:rPr>
              <w:t>检测</w:t>
            </w:r>
            <w:r>
              <w:rPr>
                <w:rFonts w:hint="eastAsia"/>
              </w:rPr>
              <w:t>报告》编号：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《建筑消防检测报告》编号：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达标评价：符合要求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改进</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组织针对环境管理体系运行中的不符合采取了有效纠正和纠正措施。针对下列方面采取了纠正措施：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检测结果不合格 ■自我检查的结果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组织持续改进了环境管理体系的适宜性、充分性与有效性，以提升环境绩效。</w:t>
            </w:r>
          </w:p>
        </w:tc>
      </w:tr>
    </w:tbl>
    <w:tbl>
      <w:tblPr>
        <w:tblStyle w:val="8"/>
        <w:tblpPr w:leftFromText="180" w:rightFromText="180" w:vertAnchor="text" w:horzAnchor="page" w:tblpX="1147" w:tblpY="109"/>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D741BD"/>
    <w:rsid w:val="2E8F195C"/>
    <w:rsid w:val="69B10589"/>
    <w:rsid w:val="76DE51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3</TotalTime>
  <ScaleCrop>false</ScaleCrop>
  <LinksUpToDate>false</LinksUpToDate>
  <CharactersWithSpaces>21158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企业咨询17334292415</cp:lastModifiedBy>
  <cp:lastPrinted>2019-05-13T03:19:00Z</cp:lastPrinted>
  <dcterms:modified xsi:type="dcterms:W3CDTF">2021-11-27T12:34:34Z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