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1133-2021-EO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沧州亿宸金属轧制设备有限公司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91130927MA08GMN40M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宋体" w:hAnsi="宋体" w:eastAsia="宋体" w:cs="宋体"/>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E:35,O:35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沧州亿宸金属轧制设备有限公司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E：金属轧制设备用精密铸钢件的加工所涉及场所的相关环境管理活动</w:t>
            </w:r>
          </w:p>
          <w:p>
            <w:pPr>
              <w:snapToGrid w:val="0"/>
              <w:spacing w:line="0" w:lineRule="atLeast"/>
              <w:jc w:val="left"/>
              <w:rPr>
                <w:sz w:val="22"/>
                <w:szCs w:val="22"/>
              </w:rPr>
            </w:pPr>
            <w:r>
              <w:rPr>
                <w:sz w:val="22"/>
                <w:szCs w:val="22"/>
              </w:rPr>
              <w:t>O：金属轧制设备用精密铸钢件的加工所涉及场所的相关职业健康安全管理活动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河北省沧州市南皮县刘八里乡尹官屯村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河北省沧州市南皮县刘八里乡尹官屯村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Cangzhou Yichen metal rolling equipment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places involved in the processing of precision steel castings for metal rolling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Liu Ba Li Xiang Yin Guan Tun Cun, Nanpi County, Cangzhou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processing of precision steel castings for metal rolling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Liu Ba Li Xiang Yin Guan Tun Cun, Nanpi County, Cangzhou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CE3C17"/>
    <w:rsid w:val="1EBA3FB4"/>
    <w:rsid w:val="55B70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2021-12-10T14:37:35Z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