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重庆兴宏园林景观绿化工程有限公司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bookmarkStart w:id="1" w:name="管理者代表"/>
            <w:r>
              <w:rPr>
                <w:rFonts w:hint="eastAsia"/>
                <w:color w:val="000000"/>
                <w:sz w:val="24"/>
                <w:szCs w:val="24"/>
              </w:rPr>
              <w:t>罗晓红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文平、张心</w:t>
            </w:r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3" w:name="审核日期"/>
            <w:r>
              <w:rPr>
                <w:color w:val="000000"/>
              </w:rPr>
              <w:t>2021年11月09日 上午至2021年11月09日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  <w:bookmarkStart w:id="6" w:name="_GoBack"/>
            <w:bookmarkEnd w:id="6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915001027116565326</w:t>
            </w:r>
            <w:r>
              <w:rPr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永久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生产销售苗木，园林绿化工程设计、施工，    园林绿化综合养护等。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t>园林绿化工程施工；园林绿化综合性养护管理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Cs w:val="21"/>
                <w:u w:val="single"/>
              </w:rPr>
              <w:t>重庆市涪陵区李渡镇幸福村一社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szCs w:val="21"/>
              </w:rPr>
              <w:t>重庆市渝北区龙华大道99号长安锦绣城26栋16楼</w:t>
            </w:r>
            <w:bookmarkEnd w:id="5"/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2"/>
              </w:rPr>
              <w:t>重庆市涪陵区乌江大桥西桥头</w:t>
            </w:r>
            <w:r>
              <w:rPr>
                <w:color w:val="000000"/>
                <w:szCs w:val="21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</w:t>
            </w:r>
            <w:r>
              <w:rPr>
                <w:rFonts w:asciiTheme="minorEastAsia" w:hAnsiTheme="minorEastAsia" w:eastAsiaTheme="minorEastAsia"/>
              </w:rPr>
              <w:t>建立的控制水平（</w:t>
            </w:r>
            <w:r>
              <w:rPr>
                <w:rFonts w:hint="eastAsia" w:asciiTheme="minorEastAsia" w:hAnsiTheme="minorEastAsia" w:eastAsiaTheme="minorEastAsia"/>
              </w:rPr>
              <w:t>适用</w:t>
            </w:r>
            <w:r>
              <w:rPr>
                <w:rFonts w:asciiTheme="minorEastAsia" w:hAnsiTheme="minorEastAsia" w:eastAsiaTheme="minorEastAsia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组织总部有权对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/临时场所进行监督管理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按照统一安排实施内部审核（不强制同一时段）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生产/服务流程图：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园林绿化综合养护：合同签订—养护方案拟定—日常养护—养护质量检查。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园林绿化工程施工：合同签订—施工方案拟定—清理场地—场地平整—放线定点—苗木种植—后续维护。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认证范围内管理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体系覆盖的人数（总计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37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人），原申请37人，现实际只有37人。　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管理人员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10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；操作人员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27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；劳务派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遣人员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；临时工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季节工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生产/服务的班次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■单班（例如：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8:00- 12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13 :00- 17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；夜班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24 :00-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次日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08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管理手册发布的时间：2021年7月1日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至今管理体系已运行3个月以上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>标准宣贯的时间：2021年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月1日 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■QMS  ■EMS  ■OHSMS  □FSMSMS  □HACCP  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auto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已培训了相关标准和内审员知识；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auto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>员工对相关标准的认知和能力（应知应会、持证上岗等）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无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102" w:firstLineChars="4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组织文件化的管理方针已制定，内容为：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>创新实干、持续改进；提升管理、遵纪守法；减少污染、安全生产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贯彻情况：■文件发放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□标语 ■展板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□网站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□员工手册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</w:p>
          <w:p>
            <w:pPr>
              <w:spacing w:line="360" w:lineRule="auto"/>
              <w:outlineLvl w:val="0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组织文件化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的管理目标已制定，内容为：</w:t>
            </w:r>
          </w:p>
          <w:p>
            <w:pPr>
              <w:spacing w:line="360" w:lineRule="auto"/>
              <w:ind w:firstLine="102" w:firstLineChars="49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顾客满意度80分以上</w:t>
            </w:r>
            <w:r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合同履约率100％</w:t>
            </w:r>
            <w:r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工程交付合格率100％</w:t>
            </w:r>
            <w:r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  <w:t>，火灾发率为零，环境污染事故为零，固体废弃物分类收集、统一回收率100%，杜绝人身死亡事故、重大设备伤害事故，员工工伤率≤3‰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3"/>
              <w:gridCol w:w="1234"/>
              <w:gridCol w:w="3979"/>
              <w:gridCol w:w="22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3" w:type="dxa"/>
                </w:tcPr>
                <w:p>
                  <w:pPr>
                    <w:pStyle w:val="4"/>
                    <w:spacing w:line="240" w:lineRule="auto"/>
                    <w:ind w:firstLine="0" w:firstLineChars="0"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1234" w:type="dxa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考核频次</w:t>
                  </w:r>
                </w:p>
              </w:tc>
              <w:tc>
                <w:tcPr>
                  <w:tcW w:w="3979" w:type="dxa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计算方法</w:t>
                  </w:r>
                </w:p>
              </w:tc>
              <w:tc>
                <w:tcPr>
                  <w:tcW w:w="2217" w:type="dxa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3" w:type="dxa"/>
                  <w:vAlign w:val="center"/>
                </w:tcPr>
                <w:p>
                  <w:pPr>
                    <w:pStyle w:val="4"/>
                    <w:spacing w:line="240" w:lineRule="auto"/>
                    <w:ind w:firstLine="0" w:firstLineChars="0"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工程交付合格率100％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eastAsia="zh-CN"/>
                    </w:rPr>
                    <w:t>，</w:t>
                  </w:r>
                </w:p>
              </w:tc>
              <w:tc>
                <w:tcPr>
                  <w:tcW w:w="1234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每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979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交付合格数量/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val="en-US" w:eastAsia="zh-CN"/>
                    </w:rPr>
                    <w:t>交付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总数*100%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3" w:type="dxa"/>
                  <w:vAlign w:val="center"/>
                </w:tcPr>
                <w:p>
                  <w:pPr>
                    <w:pStyle w:val="4"/>
                    <w:spacing w:line="240" w:lineRule="auto"/>
                    <w:ind w:firstLine="0" w:firstLineChars="0"/>
                    <w:jc w:val="left"/>
                    <w:rPr>
                      <w:rFonts w:asciiTheme="minorEastAsia" w:hAnsiTheme="minorEastAsia" w:eastAsiaTheme="minorEastAsia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顾客满意度80分以上</w:t>
                  </w:r>
                </w:p>
              </w:tc>
              <w:tc>
                <w:tcPr>
                  <w:tcW w:w="123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每年</w:t>
                  </w:r>
                </w:p>
              </w:tc>
              <w:tc>
                <w:tcPr>
                  <w:tcW w:w="3979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顾客满意度调查总分数/顾客调查总数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9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3" w:type="dxa"/>
                  <w:vAlign w:val="center"/>
                </w:tcPr>
                <w:p>
                  <w:pPr>
                    <w:pStyle w:val="4"/>
                    <w:spacing w:line="240" w:lineRule="auto"/>
                    <w:ind w:firstLine="0" w:firstLineChars="0"/>
                    <w:jc w:val="left"/>
                    <w:rPr>
                      <w:rFonts w:asciiTheme="minorEastAsia" w:hAnsiTheme="minorEastAsia" w:eastAsiaTheme="minorEastAsia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合同履约率100％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eastAsia="zh-CN"/>
                    </w:rPr>
                    <w:t>，</w:t>
                  </w:r>
                </w:p>
              </w:tc>
              <w:tc>
                <w:tcPr>
                  <w:tcW w:w="123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每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979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履约数量/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val="en-US" w:eastAsia="zh-CN"/>
                    </w:rPr>
                    <w:t>签订合同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总数*100%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2343" w:type="dxa"/>
                  <w:vAlign w:val="center"/>
                </w:tcPr>
                <w:p>
                  <w:pPr>
                    <w:pStyle w:val="4"/>
                    <w:spacing w:line="240" w:lineRule="auto"/>
                    <w:ind w:firstLine="0" w:firstLineChars="0"/>
                    <w:jc w:val="left"/>
                    <w:rPr>
                      <w:rFonts w:asciiTheme="minorEastAsia" w:hAnsiTheme="minorEastAsia" w:eastAsiaTheme="minorEastAsia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eastAsia="zh-CN"/>
                    </w:rPr>
                    <w:t>固体废弃物分类收集、统一回收率100%，</w:t>
                  </w:r>
                </w:p>
              </w:tc>
              <w:tc>
                <w:tcPr>
                  <w:tcW w:w="123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每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979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固废分类回收数/固废总数*100%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8" w:hRule="atLeast"/>
              </w:trPr>
              <w:tc>
                <w:tcPr>
                  <w:tcW w:w="2343" w:type="dxa"/>
                  <w:vAlign w:val="bottom"/>
                </w:tcPr>
                <w:p>
                  <w:pPr>
                    <w:pStyle w:val="4"/>
                    <w:spacing w:line="240" w:lineRule="auto"/>
                    <w:ind w:firstLine="0" w:firstLineChars="0"/>
                    <w:jc w:val="left"/>
                    <w:rPr>
                      <w:rFonts w:asciiTheme="minorEastAsia" w:hAnsiTheme="minorEastAsia" w:eastAsiaTheme="minorEastAsia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eastAsia="zh-CN"/>
                    </w:rPr>
                    <w:t>火灾发率为零，</w:t>
                  </w:r>
                </w:p>
              </w:tc>
              <w:tc>
                <w:tcPr>
                  <w:tcW w:w="123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每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97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Theme="minorEastAsia" w:hAnsiTheme="minorEastAsia" w:eastAsia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val="en-US" w:eastAsia="zh-CN"/>
                    </w:rPr>
                    <w:t>事故统计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3" w:type="dxa"/>
                  <w:vAlign w:val="center"/>
                </w:tcPr>
                <w:p>
                  <w:pPr>
                    <w:pStyle w:val="4"/>
                    <w:spacing w:line="240" w:lineRule="auto"/>
                    <w:ind w:firstLine="0" w:firstLineChars="0"/>
                    <w:jc w:val="left"/>
                    <w:rPr>
                      <w:rFonts w:asciiTheme="minorEastAsia" w:hAnsiTheme="minorEastAsia" w:eastAsiaTheme="minorEastAsia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eastAsia="zh-CN"/>
                    </w:rPr>
                    <w:t>环境污染事故为零，</w:t>
                  </w:r>
                </w:p>
              </w:tc>
              <w:tc>
                <w:tcPr>
                  <w:tcW w:w="123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每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979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val="en-US" w:eastAsia="zh-CN"/>
                    </w:rPr>
                    <w:t>事故统计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3" w:type="dxa"/>
                  <w:vAlign w:val="center"/>
                </w:tcPr>
                <w:p>
                  <w:pPr>
                    <w:pStyle w:val="4"/>
                    <w:spacing w:line="240" w:lineRule="auto"/>
                    <w:ind w:firstLine="0" w:firstLineChars="0"/>
                    <w:jc w:val="left"/>
                    <w:rPr>
                      <w:rFonts w:asciiTheme="minorEastAsia" w:hAnsiTheme="minorEastAsia" w:eastAsiaTheme="minorEastAsia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eastAsia="zh-CN"/>
                    </w:rPr>
                    <w:t>杜绝人身死亡事故、重大设备伤害事故，</w:t>
                  </w:r>
                </w:p>
              </w:tc>
              <w:tc>
                <w:tcPr>
                  <w:tcW w:w="123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每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979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val="en-US" w:eastAsia="zh-CN"/>
                    </w:rPr>
                    <w:t>事故统计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3" w:type="dxa"/>
                  <w:vAlign w:val="center"/>
                </w:tcPr>
                <w:p>
                  <w:pPr>
                    <w:pStyle w:val="4"/>
                    <w:spacing w:line="240" w:lineRule="auto"/>
                    <w:ind w:firstLine="0" w:firstLineChars="0"/>
                    <w:jc w:val="left"/>
                    <w:rPr>
                      <w:rFonts w:asciiTheme="minorEastAsia" w:hAnsiTheme="minorEastAsia" w:eastAsiaTheme="minorEastAsia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eastAsia="zh-CN"/>
                    </w:rPr>
                    <w:t>员工工伤率≤3‰</w:t>
                  </w:r>
                </w:p>
              </w:tc>
              <w:tc>
                <w:tcPr>
                  <w:tcW w:w="123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每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979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  <w:lang w:val="en-US" w:eastAsia="zh-CN"/>
                    </w:rPr>
                    <w:t>事故统计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eastAsia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FF0000"/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123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FF0000"/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397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FF0000"/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FF0000"/>
                      <w:sz w:val="21"/>
                      <w:szCs w:val="21"/>
                      <w:highlight w:val="cyan"/>
                    </w:rPr>
                  </w:pPr>
                </w:p>
              </w:tc>
            </w:tr>
          </w:tbl>
          <w:p>
            <w:pPr>
              <w:pStyle w:val="3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文件化体系的结构——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《管理手册》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u w:val="single"/>
              </w:rPr>
              <w:t xml:space="preserve"> 1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份；覆盖了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■</w:t>
            </w:r>
            <w:r>
              <w:rPr>
                <w:rFonts w:asciiTheme="minorEastAsia" w:hAnsiTheme="minorEastAsia" w:eastAsiaTheme="minorEastAsia"/>
                <w:color w:val="auto"/>
                <w:spacing w:val="-2"/>
                <w:szCs w:val="21"/>
              </w:rPr>
              <w:t xml:space="preserve">QMS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□5</w:t>
            </w:r>
            <w:r>
              <w:rPr>
                <w:rFonts w:asciiTheme="minorEastAsia" w:hAnsiTheme="minorEastAsia" w:eastAsiaTheme="minorEastAsia"/>
                <w:color w:val="auto"/>
                <w:szCs w:val="21"/>
              </w:rPr>
              <w:t xml:space="preserve">0430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■</w:t>
            </w:r>
            <w:r>
              <w:rPr>
                <w:rFonts w:asciiTheme="minorEastAsia" w:hAnsiTheme="minorEastAsia" w:eastAsiaTheme="minorEastAsia"/>
                <w:color w:val="auto"/>
                <w:spacing w:val="-2"/>
                <w:szCs w:val="21"/>
              </w:rPr>
              <w:t xml:space="preserve">EMS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■</w:t>
            </w:r>
            <w:r>
              <w:rPr>
                <w:rFonts w:asciiTheme="minorEastAsia" w:hAnsiTheme="minorEastAsia" w:eastAsiaTheme="minorEastAsia"/>
                <w:color w:val="auto"/>
                <w:spacing w:val="-2"/>
                <w:szCs w:val="21"/>
              </w:rPr>
              <w:t xml:space="preserve">OHSMS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spacing w:val="-2"/>
                <w:szCs w:val="21"/>
              </w:rPr>
              <w:t>FS</w:t>
            </w:r>
            <w:r>
              <w:rPr>
                <w:rFonts w:asciiTheme="minorEastAsia" w:hAnsiTheme="minorEastAsia" w:eastAsiaTheme="minorEastAsia"/>
                <w:color w:val="auto"/>
                <w:spacing w:val="-2"/>
                <w:szCs w:val="21"/>
              </w:rPr>
              <w:t xml:space="preserve">MS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spacing w:val="-2"/>
                <w:szCs w:val="21"/>
              </w:rPr>
              <w:t>HACCP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>文件化的程序；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u w:val="single"/>
              </w:rPr>
              <w:t>21</w:t>
            </w:r>
            <w:r>
              <w:rPr>
                <w:rFonts w:asciiTheme="minorEastAsia" w:hAnsiTheme="minorEastAsia" w:eastAsiaTheme="minor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>作业文件；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u w:val="single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>记录表格；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  <w:u w:val="single"/>
              </w:rPr>
              <w:t xml:space="preserve"> 48</w:t>
            </w:r>
            <w:r>
              <w:rPr>
                <w:rFonts w:asciiTheme="minorEastAsia" w:hAnsiTheme="minorEastAsia" w:eastAsiaTheme="minorEastAsia"/>
                <w:color w:val="auto"/>
                <w:szCs w:val="18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2021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10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8-9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不符合项报告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份、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2021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10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20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管理评审输入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QMS不适用条款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8.3条款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合理理由的详细说明：</w:t>
            </w:r>
            <w:r>
              <w:rPr>
                <w:rFonts w:hint="eastAsia" w:cs="Lucida Sans" w:asciiTheme="minorEastAsia" w:hAnsiTheme="minorEastAsia" w:eastAsiaTheme="minorEastAsia"/>
                <w:szCs w:val="21"/>
                <w:u w:val="single"/>
              </w:rPr>
              <w:t>由于公司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>按业主提供的设计文件及国家行业标准进行施工，并按照行业标准及顾客要求进行服务</w:t>
            </w:r>
            <w:r>
              <w:rPr>
                <w:rFonts w:hint="eastAsia" w:cs="Lucida Sans" w:asciiTheme="minorEastAsia" w:hAnsiTheme="minorEastAsia" w:eastAsiaTheme="minorEastAsia"/>
                <w:szCs w:val="21"/>
                <w:u w:val="single"/>
              </w:rPr>
              <w:t>，不存在设计和开发活动，故GB/T19001-2016标准中第8.3条款对本公司不适用，不影响公司满足顾客和法律法规要求的能力和责任。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QMS不适用条款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确认生产/服务流程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与提供流程图不一致，说明：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质量关键过程（工序）：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u w:val="single"/>
              </w:rPr>
              <w:t>隐蔽工程、服务过程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；</w:t>
            </w:r>
            <w:r>
              <w:rPr>
                <w:rFonts w:hint="eastAsia" w:asciiTheme="minorEastAsia" w:hAnsiTheme="minorEastAsia" w:eastAsiaTheme="minorEastAsia"/>
              </w:rPr>
              <w:t>相关控制参数名称：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 位置、植物品种、频次 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u w:val="single"/>
              </w:rPr>
            </w:pPr>
            <w:r>
              <w:rPr>
                <w:rFonts w:hint="eastAsia" w:asciiTheme="minorEastAsia" w:hAnsiTheme="minorEastAsia" w:eastAsiaTheme="minorEastAsia"/>
              </w:rPr>
              <w:t>需要确认的过程（工序）：</w:t>
            </w:r>
            <w:r>
              <w:rPr>
                <w:rFonts w:hint="eastAsia" w:asciiTheme="minorEastAsia" w:hAnsiTheme="minorEastAsia" w:eastAsiaTheme="minorEastAsia"/>
                <w:color w:val="auto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auto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u w:val="single"/>
              </w:rPr>
              <w:t>隐蔽工程、服务过程</w:t>
            </w:r>
            <w:r>
              <w:rPr>
                <w:rFonts w:asciiTheme="minorEastAsia" w:hAnsiTheme="minorEastAsia" w:eastAsiaTheme="minorEastAsia"/>
                <w:color w:val="auto"/>
                <w:u w:val="single"/>
              </w:rPr>
              <w:t xml:space="preserve">   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确认的内容：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人员技能、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设备能力、□原料控制、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客户要求、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国际标准、■国家标准、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行业标准、□地方标准、□企业标准、□企业技术规范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□其他：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需要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型式检验；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需要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型式检验；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型式检验的原因：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□正常情况下至少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个月一次；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□原辅材料有较大变化。；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质量监督检验部门提出抽检要求。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型式检验报告（证据）1：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检测部门名称：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报告编号：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报告日期：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执行标准：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结论：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合格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不合格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项目齐全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项目不齐全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型式检验报告（证据）2：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检测部门名称：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报告编号：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报告日期：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执行标准：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结论：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合格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不合格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项目齐全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相关方/客户的反馈、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顾客投诉处理和及顾客满意度。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近一年相关方反馈处理情况，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近一年顾客投诉处理情况，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近一年重大质量事故情况，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近一年产品召回的情况。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近一年顾客满意度的情况，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  <w:u w:val="single"/>
              </w:rPr>
              <w:t xml:space="preserve">  满意度</w:t>
            </w:r>
            <w:r>
              <w:rPr>
                <w:rFonts w:hint="eastAsia" w:asciiTheme="minorEastAsia" w:hAnsiTheme="minorEastAsia" w:eastAsiaTheme="minorEastAsia"/>
                <w:color w:val="auto"/>
                <w:u w:val="single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auto"/>
                <w:u w:val="singl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u w:val="single"/>
              </w:rPr>
              <w:t>分</w:t>
            </w:r>
            <w:r>
              <w:rPr>
                <w:rFonts w:asciiTheme="minorEastAsia" w:hAnsiTheme="minorEastAsia" w:eastAsiaTheme="minorEastAsia"/>
                <w:color w:val="auto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color w:val="FF0000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 w:themeColor="text1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hd w:val="pct10" w:color="auto" w:fill="FFFFFF"/>
              </w:rPr>
              <w:t>QMS场所巡查</w:t>
            </w:r>
            <w:r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巡视生产区域（■办公室、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□生产/加工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车间、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□原料/成品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库房、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■可以满足运行要求；□基本可以满足运行要求；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             </w:t>
            </w:r>
          </w:p>
          <w:p>
            <w:pPr>
              <w:pStyle w:val="3"/>
              <w:spacing w:line="360" w:lineRule="auto"/>
              <w:outlineLvl w:val="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auto"/>
                <w:highlight w:val="green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观察基础设施（办公设备）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，主要有</w:t>
            </w:r>
            <w:r>
              <w:rPr>
                <w:rFonts w:hint="eastAsia" w:asciiTheme="minorEastAsia" w:hAnsiTheme="minorEastAsia" w:eastAsiaTheme="minorEastAsia"/>
                <w:color w:val="auto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u w:val="single"/>
                <w:lang w:eastAsia="zh-CN"/>
              </w:rPr>
              <w:t>钢筋弯曲机、钢筋切断机、埋弧压力焊机、交流电焊机、卷扬机、砂浆搅拌机、打药机、修剪机、割草机、打药车</w:t>
            </w:r>
            <w:r>
              <w:rPr>
                <w:rFonts w:hint="eastAsia" w:asciiTheme="minorEastAsia" w:hAnsiTheme="minorEastAsia" w:eastAsiaTheme="minorEastAsia"/>
                <w:color w:val="auto"/>
                <w:u w:val="single"/>
              </w:rPr>
              <w:t>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运行完好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运行基本完好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运行不完好，说明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观察质量相关的监视和测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量设备的种类，主要有 </w:t>
            </w:r>
            <w:r>
              <w:rPr>
                <w:rFonts w:hint="eastAsia" w:asciiTheme="minorEastAsia" w:hAnsiTheme="minorEastAsia" w:eastAsiaTheme="minorEastAsia"/>
                <w:color w:val="auto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u w:val="single"/>
                <w:lang w:eastAsia="zh-CN"/>
              </w:rPr>
              <w:t>水准仪</w:t>
            </w:r>
            <w:r>
              <w:rPr>
                <w:rFonts w:hint="eastAsia" w:asciiTheme="minorEastAsia" w:hAnsiTheme="minorEastAsia" w:eastAsiaTheme="minorEastAsia"/>
                <w:color w:val="auto"/>
                <w:u w:val="single"/>
              </w:rPr>
              <w:t xml:space="preserve">。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                           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auto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single"/>
              </w:rPr>
              <w:t>□校准受控  ■校准基本受控 □ 校准失控，说明       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u w:val="singl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u w:val="single"/>
              </w:rPr>
              <w:t>□场内机动车辆（叉车）；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温度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湿度 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清洁卫生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照度   </w:t>
            </w:r>
            <w:r>
              <w:rPr>
                <w:rFonts w:asciiTheme="minorEastAsia" w:hAnsiTheme="minorEastAsia" w:eastAsiaTheme="minorEastAsia"/>
                <w:color w:val="000000"/>
              </w:rPr>
              <w:t>■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噪声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非歧视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非对抗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过度疲劳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情绪不稳定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根据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该企业的产品/服务特性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确认环境影响评价的种类：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环境影响登记表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环境影响报告表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环境影响报告书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其他：注：无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现有产量：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未超出产能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已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超出产能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，说明：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查看《排污许可证》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。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注：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magent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污染物排放种类：■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□废气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厂界噪声  </w:t>
            </w:r>
            <w:r>
              <w:rPr>
                <w:rFonts w:asciiTheme="minorEastAsia" w:hAnsiTheme="minorEastAsia" w:eastAsiaTheme="minorEastAsia"/>
                <w:color w:val="000000"/>
              </w:rPr>
              <w:t>■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其他——固废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污染物排放总量：■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达标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未达标，需要改进：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污染物排放浓度：■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达标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未达标，需要改进：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查看环境因素的识别的充分性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不合理，需要完善：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查看合规性证明（9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《环评验收报告》编号：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    </w:t>
            </w:r>
          </w:p>
          <w:p>
            <w:pPr>
              <w:spacing w:line="440" w:lineRule="exact"/>
              <w:ind w:firstLine="422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 xml:space="preserve">注：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包括：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■噪声   </w:t>
            </w:r>
            <w:r>
              <w:rPr>
                <w:rFonts w:asciiTheme="minorEastAsia" w:hAnsiTheme="minorEastAsia" w:eastAsiaTheme="minorEastAsia"/>
                <w:color w:val="000000"/>
              </w:rPr>
              <w:t>■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其他——固废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《环境监测报告》编号：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</w:t>
            </w:r>
          </w:p>
          <w:p>
            <w:pPr>
              <w:spacing w:line="440" w:lineRule="exact"/>
              <w:ind w:firstLine="422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注： 。</w:t>
            </w:r>
          </w:p>
          <w:p>
            <w:pPr>
              <w:pStyle w:val="3"/>
              <w:rPr>
                <w:rFonts w:asciiTheme="minorEastAsia" w:hAnsiTheme="minorEastAsia" w:eastAsiaTheme="minorEastAsia"/>
              </w:rPr>
            </w:pP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包括：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了解危险化学品的种类——无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gree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gree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剧毒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其他：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制订了必要的应急预案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未发生过紧急事件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发生过紧急事件，说明：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未进行应急演练  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进行应急演练，说明：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u w:val="single"/>
              </w:rPr>
              <w:t>2021年9月15日在公司办公区由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u w:val="single"/>
                <w:lang w:eastAsia="zh-CN"/>
              </w:rPr>
              <w:t>行政部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u w:val="single"/>
              </w:rPr>
              <w:t>组织的消防演练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u w:val="single"/>
                <w:lang w:eastAsia="zh-CN"/>
              </w:rPr>
              <w:t>。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u w:val="single"/>
              </w:rPr>
              <w:t xml:space="preserve">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消防验收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消防备案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消防栓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灭火器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消防手动报警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消防中控室（如烟感、温感、喷淋）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消防卷帘门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高压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电工作业 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低压电工作业  </w:t>
            </w:r>
            <w:r>
              <w:rPr>
                <w:rFonts w:asciiTheme="minorEastAsia" w:hAnsiTheme="minorEastAsia" w:eastAsiaTheme="minorEastAsia"/>
                <w:color w:val="auto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■焊接与热切割作业  </w:t>
            </w:r>
            <w:r>
              <w:rPr>
                <w:rFonts w:asciiTheme="minorEastAsia" w:hAnsiTheme="minorEastAsia" w:eastAsiaTheme="minorEastAsia"/>
                <w:color w:val="auto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>高处作业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制冷与空调作业 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煤矿安全作业 </w:t>
            </w:r>
            <w:r>
              <w:rPr>
                <w:rFonts w:asciiTheme="minorEastAsia" w:hAnsiTheme="minorEastAsia" w:eastAsiaTheme="minorEastAsia"/>
                <w:color w:val="auto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矿山安全作业 </w:t>
            </w:r>
            <w:r>
              <w:rPr>
                <w:rFonts w:asciiTheme="minorEastAsia" w:hAnsiTheme="minorEastAsia" w:eastAsiaTheme="minorEastAsia"/>
                <w:color w:val="auto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石油天然气安全作业 </w:t>
            </w:r>
            <w:r>
              <w:rPr>
                <w:rFonts w:asciiTheme="minorEastAsia" w:hAnsiTheme="minorEastAsia" w:eastAsiaTheme="minorEastAsia"/>
                <w:color w:val="auto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冶金生产安全作业  </w:t>
            </w:r>
            <w:r>
              <w:rPr>
                <w:rFonts w:asciiTheme="minorEastAsia" w:hAnsiTheme="minorEastAsia" w:eastAsiaTheme="minorEastAsia"/>
                <w:color w:val="auto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危险品安全作业 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烟花爆竹安全作业 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auto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>- 了解特种设备作业人员的状况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场内机动车辆（叉车）  </w:t>
            </w:r>
            <w:r>
              <w:rPr>
                <w:rFonts w:asciiTheme="minorEastAsia" w:hAnsiTheme="minorEastAsia" w:eastAsiaTheme="minorEastAsia"/>
                <w:color w:val="auto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起重机械   </w:t>
            </w:r>
            <w:r>
              <w:rPr>
                <w:rFonts w:asciiTheme="minorEastAsia" w:hAnsiTheme="minorEastAsia" w:eastAsiaTheme="minorEastAsia"/>
                <w:color w:val="auto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压力容器（气瓶）  </w:t>
            </w:r>
            <w:r>
              <w:rPr>
                <w:rFonts w:asciiTheme="minorEastAsia" w:hAnsiTheme="minorEastAsia" w:eastAsiaTheme="minorEastAsia"/>
                <w:color w:val="auto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压力管道  </w:t>
            </w:r>
            <w:r>
              <w:rPr>
                <w:rFonts w:asciiTheme="minorEastAsia" w:hAnsiTheme="minorEastAsia" w:eastAsiaTheme="minorEastAsia"/>
                <w:color w:val="auto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电梯  </w:t>
            </w:r>
            <w:r>
              <w:rPr>
                <w:rFonts w:asciiTheme="minorEastAsia" w:hAnsiTheme="minorEastAsia" w:eastAsiaTheme="minorEastAsia"/>
                <w:color w:val="auto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锅炉  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 xml:space="preserve">客运索道  </w:t>
            </w:r>
            <w:r>
              <w:rPr>
                <w:rFonts w:asciiTheme="minorEastAsia" w:hAnsiTheme="minorEastAsia" w:eastAsiaTheme="minorEastAsia"/>
                <w:color w:val="auto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>大型游乐设施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相关方的反馈及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投诉处理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近一年相关方反馈处理情况，■未发生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近一年处罚整改情况，■未发生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近一年重大环保事故情况，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 w:asciiTheme="minorEastAsia" w:hAnsiTheme="minorEastAsia" w:eastAsiaTheme="minorEastAsia"/>
                <w:color w:val="000000"/>
                <w:shd w:val="pct10" w:color="auto" w:fill="FFFFFF"/>
              </w:rPr>
              <w:t>场所巡查</w:t>
            </w:r>
            <w:r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巡视厂区，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工业区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商业区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生态保护区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巡视生产区域（厂区、车间、库房、实验室等），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■水   ■电能 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天然气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压缩空气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蒸汽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■粉尘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噪声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固体废弃物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锅炉房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高压配电室   低压配电室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空压站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制冷站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除尘装置    尾气处理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危化品库房    危险废弃物存放处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改建/扩建施工现场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食堂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宿舍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班车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与提供流程图不一致，说明：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除尘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降噪      废气处理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危废存放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危化品储罐围堰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污水在线监测仪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green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起重机械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压力容器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压力管道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电梯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锅炉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安全阀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无异常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有异常，需要改进：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根据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该企业的产品/服务特性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安全预评估报告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安全现状评估报告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职业健康预评估报告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职业健康现状评估报告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《安全生产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许可证》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许可范围：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查看危险源的辨识的充分性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不合理，需要完善：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包括：    化学物质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高温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噪声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有害微生物   □其他——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《职业病体检报告》编号：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u w:val="single"/>
              </w:rPr>
              <w:t xml:space="preserve">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包括：化学物质   </w:t>
            </w:r>
            <w:r>
              <w:rPr>
                <w:rFonts w:asciiTheme="minorEastAsia" w:hAnsiTheme="minorEastAsia" w:eastAsiaTheme="minorEastAsia"/>
                <w:color w:val="000000" w:themeColor="text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高温    </w:t>
            </w:r>
            <w:r>
              <w:rPr>
                <w:rFonts w:asciiTheme="minorEastAsia" w:hAnsiTheme="minorEastAsia" w:eastAsiaTheme="minorEastAsia"/>
                <w:color w:val="000000" w:themeColor="text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粉尘   噪声  </w:t>
            </w:r>
            <w:r>
              <w:rPr>
                <w:rFonts w:asciiTheme="minorEastAsia" w:hAnsiTheme="minorEastAsia" w:eastAsiaTheme="minorEastAsia"/>
                <w:color w:val="000000" w:themeColor="text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有害微生物  </w:t>
            </w:r>
            <w:r>
              <w:rPr>
                <w:rFonts w:asciiTheme="minorEastAsia" w:hAnsiTheme="minorEastAsia" w:eastAsiaTheme="minorEastAsia"/>
                <w:color w:val="000000" w:themeColor="text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特殊作业    </w:t>
            </w:r>
            <w:r>
              <w:rPr>
                <w:rFonts w:asciiTheme="minorEastAsia" w:hAnsiTheme="minorEastAsia" w:eastAsiaTheme="minorEastAsia"/>
                <w:color w:val="000000" w:themeColor="text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FF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剧毒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消防验收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消防备案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消防栓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灭火器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消防手动报警     消防中控室（如烟感、温感、喷淋）   消防泵房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消防卷帘门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检测合格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未检测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制订了必要的应急预案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未发生过紧急事件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发生过紧急事件，说明：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未进行应急演练  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进行应急演练，说明：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auto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了解特种作</w:t>
            </w:r>
            <w:r>
              <w:rPr>
                <w:rFonts w:hint="eastAsia" w:asciiTheme="minorEastAsia" w:hAnsiTheme="minorEastAsia" w:eastAsiaTheme="minorEastAsia"/>
                <w:color w:val="auto"/>
                <w:szCs w:val="18"/>
              </w:rPr>
              <w:t>业人员的状况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auto"/>
                <w:szCs w:val="22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■高压电工作业   </w:t>
            </w:r>
            <w:r>
              <w:rPr>
                <w:rFonts w:asciiTheme="minorEastAsia" w:hAnsiTheme="minorEastAsia" w:eastAsiaTheme="minorEastAsia"/>
                <w:color w:val="auto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低压电工作业  </w:t>
            </w:r>
            <w:r>
              <w:rPr>
                <w:rFonts w:asciiTheme="minorEastAsia" w:hAnsiTheme="minorEastAsia" w:eastAsiaTheme="minorEastAsia"/>
                <w:color w:val="auto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■焊接与热切割作业  </w:t>
            </w:r>
            <w:r>
              <w:rPr>
                <w:rFonts w:asciiTheme="minorEastAsia" w:hAnsiTheme="minorEastAsia" w:eastAsiaTheme="minorEastAsia"/>
                <w:color w:val="auto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高处作业 </w:t>
            </w:r>
            <w:r>
              <w:rPr>
                <w:rFonts w:asciiTheme="minorEastAsia" w:hAnsiTheme="minorEastAsia" w:eastAsiaTheme="minorEastAsia"/>
                <w:color w:val="auto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22"/>
              </w:rPr>
              <w:t xml:space="preserve">煤矿安全作业  </w:t>
            </w:r>
            <w:r>
              <w:rPr>
                <w:rFonts w:asciiTheme="minorEastAsia" w:hAnsiTheme="minorEastAsia" w:eastAsiaTheme="minorEastAsia"/>
                <w:color w:val="auto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22"/>
              </w:rPr>
              <w:t xml:space="preserve">矿山安全作业 </w:t>
            </w:r>
            <w:r>
              <w:rPr>
                <w:rFonts w:asciiTheme="minorEastAsia" w:hAnsiTheme="minorEastAsia" w:eastAsiaTheme="minorEastAsia"/>
                <w:color w:val="auto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22"/>
              </w:rPr>
              <w:t xml:space="preserve">石油天然气安全作业 </w:t>
            </w:r>
            <w:r>
              <w:rPr>
                <w:rFonts w:asciiTheme="minorEastAsia" w:hAnsiTheme="minorEastAsia" w:eastAsiaTheme="minorEastAsia"/>
                <w:color w:val="auto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22"/>
              </w:rPr>
              <w:t>冶金生产安全作业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Cs w:val="22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auto"/>
                <w:szCs w:val="22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22"/>
              </w:rPr>
              <w:t>危险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品安全作业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auto"/>
                <w:u w:val="single"/>
              </w:rPr>
            </w:pPr>
            <w:r>
              <w:rPr>
                <w:rFonts w:asciiTheme="minorEastAsia" w:hAnsiTheme="minorEastAsia" w:eastAsiaTheme="minorEastAsia"/>
                <w:color w:val="auto"/>
                <w:szCs w:val="22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22"/>
              </w:rPr>
              <w:t>烟花爆竹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安全作业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 w:themeColor="text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 w:themeColor="text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起重机械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 w:themeColor="text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压力容器（气瓶）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压力管道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电梯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锅炉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cs="PMingLiU" w:asciiTheme="minorEastAsia" w:hAnsiTheme="minorEastAsia" w:eastAsiaTheme="minorEastAsia"/>
                <w:color w:val="000000"/>
                <w:kern w:val="0"/>
                <w:sz w:val="24"/>
              </w:rPr>
              <w:t xml:space="preserve">客运索道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cs="PMingLiU" w:asciiTheme="minorEastAsia" w:hAnsiTheme="minorEastAsia" w:eastAsiaTheme="minorEastAsia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 w:asciiTheme="minorEastAsia" w:hAnsiTheme="minorEastAsia" w:eastAsiaTheme="minorEastAsia"/>
                <w:color w:val="000000"/>
                <w:shd w:val="pct10" w:color="auto" w:fill="FFFFFF"/>
              </w:rPr>
              <w:t>场所巡查</w:t>
            </w:r>
            <w:r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巡视厂区，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工业区   </w:t>
            </w:r>
            <w:r>
              <w:rPr>
                <w:rFonts w:asciiTheme="minorEastAsia" w:hAnsiTheme="minorEastAsia" w:eastAsiaTheme="minorEastAsia"/>
                <w:color w:val="000000"/>
              </w:rPr>
              <w:t>■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商业区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巡视生产区域（厂区、车间、库房、实验室等），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■机械伤害  ■触电   化学伤害  ■噪声■粉尘  ■危险作业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□压力容器爆炸  ■火灾  □其他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锅炉房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高压配电室    低压配电室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空压站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制冷站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除尘装置   尾气处理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危化品库房    危险废弃物存放处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改建/扩建施工现场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食堂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宿舍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班车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与提供流程图不一致，说明：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  工业废水     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■噪声  ■固体废弃物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除尘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降噪    废气处理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危废存放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危化品储罐围堰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急停按钮   联锁装置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光栅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消防手动报警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安全拉绳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危化品储罐围堰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温度计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压力表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可燃气体报警器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氧气含量测定仪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绝缘摇表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起重机械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压力容器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压力管道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电梯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锅炉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安全阀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观察使用劳保用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安全帽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护目镜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auto"/>
              </w:rPr>
              <w:t>□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防尘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面罩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防毒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面罩 </w:t>
            </w:r>
            <w:r>
              <w:rPr>
                <w:rFonts w:asciiTheme="minorEastAsia" w:hAnsiTheme="minorEastAsia" w:eastAsiaTheme="minorEastAsia"/>
                <w:color w:val="auto"/>
              </w:rPr>
              <w:t>□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耳塞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耳罩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防护服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防酸碱手套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绝缘手套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防砸鞋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auto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防穿刺鞋 </w:t>
            </w:r>
            <w:r>
              <w:rPr>
                <w:rFonts w:asciiTheme="minorEastAsia" w:hAnsiTheme="minorEastAsia" w:eastAsiaTheme="minorEastAsia"/>
                <w:color w:val="auto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绝缘鞋  </w:t>
            </w:r>
            <w:r>
              <w:rPr>
                <w:rFonts w:asciiTheme="minorEastAsia" w:hAnsiTheme="minorEastAsia" w:eastAsiaTheme="minorEastAsia"/>
                <w:color w:val="auto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无异常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有异常，需要改进：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较多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很少   □没有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较多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很少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员工人数变更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7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■ 有生产/服务现场   ■领导层可以迎审  □交通食宿  □劳保用品  </w:t>
            </w:r>
          </w:p>
          <w:p>
            <w:pPr>
              <w:pStyle w:val="17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7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7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7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 二阶段日期的可接受性  ■审核组成员的可接受性  □一阶段的问题已整改</w:t>
            </w:r>
          </w:p>
          <w:p>
            <w:pPr>
              <w:pStyle w:val="17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■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</w:tbl>
    <w:p/>
    <w:p>
      <w:pPr>
        <w:pStyle w:val="7"/>
      </w:pPr>
      <w:r>
        <w:rPr>
          <w:rFonts w:hint="eastAsia"/>
        </w:rPr>
        <w:t>说明：不符合标注N</w:t>
      </w:r>
    </w:p>
    <w:p>
      <w:pPr>
        <w:pStyle w:val="7"/>
      </w:pP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88E"/>
    <w:rsid w:val="00132B73"/>
    <w:rsid w:val="00437428"/>
    <w:rsid w:val="005639FF"/>
    <w:rsid w:val="00680010"/>
    <w:rsid w:val="006E6234"/>
    <w:rsid w:val="00730603"/>
    <w:rsid w:val="00AC2120"/>
    <w:rsid w:val="00B950C4"/>
    <w:rsid w:val="00DD7556"/>
    <w:rsid w:val="00EE6A9B"/>
    <w:rsid w:val="00F9688E"/>
    <w:rsid w:val="00FD7A29"/>
    <w:rsid w:val="15110681"/>
    <w:rsid w:val="34A40050"/>
    <w:rsid w:val="4152313F"/>
    <w:rsid w:val="6A376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link w:val="18"/>
    <w:qFormat/>
    <w:uiPriority w:val="99"/>
  </w:style>
  <w:style w:type="paragraph" w:styleId="4">
    <w:name w:val="Body Text Indent"/>
    <w:basedOn w:val="1"/>
    <w:link w:val="19"/>
    <w:qFormat/>
    <w:uiPriority w:val="0"/>
    <w:pPr>
      <w:spacing w:line="560" w:lineRule="exact"/>
      <w:ind w:firstLine="560" w:firstLineChars="200"/>
    </w:pPr>
    <w:rPr>
      <w:sz w:val="28"/>
    </w:rPr>
  </w:style>
  <w:style w:type="paragraph" w:styleId="5">
    <w:name w:val="Plain Text"/>
    <w:basedOn w:val="1"/>
    <w:link w:val="20"/>
    <w:qFormat/>
    <w:uiPriority w:val="0"/>
    <w:pPr>
      <w:spacing w:after="0" w:line="240" w:lineRule="auto"/>
    </w:pPr>
    <w:rPr>
      <w:rFonts w:ascii="宋体" w:hAnsi="Courier New"/>
      <w:color w:val="00000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8">
    <w:name w:val="正文文本 Char"/>
    <w:basedOn w:val="11"/>
    <w:link w:val="3"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9">
    <w:name w:val="正文文本缩进 Char"/>
    <w:basedOn w:val="11"/>
    <w:link w:val="4"/>
    <w:qFormat/>
    <w:uiPriority w:val="0"/>
    <w:rPr>
      <w:rFonts w:ascii="Times New Roman" w:hAnsi="Times New Roman" w:eastAsia="宋体" w:cs="Times New Roman"/>
      <w:kern w:val="2"/>
      <w:sz w:val="28"/>
    </w:rPr>
  </w:style>
  <w:style w:type="character" w:customStyle="1" w:styleId="20">
    <w:name w:val="纯文本 Char"/>
    <w:basedOn w:val="11"/>
    <w:link w:val="5"/>
    <w:qFormat/>
    <w:uiPriority w:val="0"/>
    <w:rPr>
      <w:rFonts w:ascii="宋体" w:hAnsi="Courier New" w:eastAsia="宋体" w:cs="Times New Roman"/>
      <w:color w:val="000000"/>
      <w:kern w:val="2"/>
      <w:sz w:val="21"/>
    </w:rPr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1678</Words>
  <Characters>9569</Characters>
  <Lines>79</Lines>
  <Paragraphs>22</Paragraphs>
  <TotalTime>3</TotalTime>
  <ScaleCrop>false</ScaleCrop>
  <LinksUpToDate>false</LinksUpToDate>
  <CharactersWithSpaces>11225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2021-11-15T02:46:40Z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