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1171-2021-EnMs</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190"/>
        <w:gridCol w:w="147"/>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563"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河北孚领商品混凝土有限公司</w:t>
            </w:r>
            <w:bookmarkEnd w:id="1"/>
          </w:p>
        </w:tc>
        <w:tc>
          <w:tcPr>
            <w:tcW w:w="1847"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李丽英</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sz w:val="22"/>
                <w:szCs w:val="22"/>
                <w:lang w:val="en-US" w:eastAsia="zh-CN"/>
              </w:rPr>
            </w:pPr>
            <w:r>
              <w:rPr>
                <w:rFonts w:hint="eastAsia"/>
                <w:sz w:val="22"/>
                <w:szCs w:val="22"/>
                <w:lang w:val="en-GB" w:eastAsia="zh-CN"/>
              </w:rPr>
              <w:t xml:space="preserve">订单号 </w:t>
            </w:r>
          </w:p>
        </w:tc>
        <w:tc>
          <w:tcPr>
            <w:tcW w:w="4563"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sz w:val="22"/>
                <w:szCs w:val="22"/>
                <w:lang w:val="en-US" w:eastAsia="zh-CN"/>
              </w:rPr>
            </w:pPr>
          </w:p>
        </w:tc>
        <w:tc>
          <w:tcPr>
            <w:tcW w:w="1847"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sz w:val="22"/>
                <w:szCs w:val="22"/>
                <w:lang w:val="en-US" w:eastAsia="zh-CN"/>
              </w:rPr>
            </w:pPr>
            <w:r>
              <w:rPr>
                <w:rFonts w:hint="eastAsia"/>
                <w:sz w:val="22"/>
                <w:szCs w:val="22"/>
                <w:lang w:val="en-GB" w:eastAsia="zh-CN"/>
              </w:rPr>
              <w:t>证书号</w:t>
            </w:r>
          </w:p>
        </w:tc>
        <w:tc>
          <w:tcPr>
            <w:tcW w:w="1976" w:type="dxa"/>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sz w:val="22"/>
                <w:szCs w:val="22"/>
                <w:lang w:val="en-US" w:eastAsia="zh-CN"/>
              </w:rPr>
            </w:pPr>
            <w:r>
              <w:rPr>
                <w:rFonts w:hint="eastAsia"/>
                <w:sz w:val="22"/>
                <w:szCs w:val="22"/>
                <w:lang w:val="en-GB" w:eastAsia="zh-CN"/>
              </w:rPr>
              <w:t>组织机构代码</w:t>
            </w:r>
          </w:p>
        </w:tc>
        <w:tc>
          <w:tcPr>
            <w:tcW w:w="4563"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sz w:val="22"/>
                <w:szCs w:val="22"/>
                <w:lang w:val="en-US" w:eastAsia="zh-CN"/>
              </w:rPr>
            </w:pPr>
            <w:bookmarkStart w:id="4" w:name="机构代码"/>
            <w:r>
              <w:rPr>
                <w:rFonts w:hint="eastAsia"/>
                <w:sz w:val="22"/>
                <w:szCs w:val="22"/>
                <w:lang w:val="en-US" w:eastAsia="zh-CN"/>
              </w:rPr>
              <w:t>91130609MA0F3EUH58</w:t>
            </w:r>
            <w:bookmarkEnd w:id="4"/>
          </w:p>
        </w:tc>
        <w:tc>
          <w:tcPr>
            <w:tcW w:w="1847"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sz w:val="22"/>
                <w:szCs w:val="22"/>
                <w:lang w:val="en-US" w:eastAsia="zh-CN"/>
              </w:rPr>
            </w:pPr>
            <w:r>
              <w:rPr>
                <w:rFonts w:hint="eastAsia"/>
                <w:sz w:val="22"/>
                <w:szCs w:val="22"/>
                <w:lang w:val="en-US" w:eastAsia="zh-CN"/>
              </w:rPr>
              <w:t>是否带CNAS标志</w:t>
            </w:r>
          </w:p>
        </w:tc>
        <w:tc>
          <w:tcPr>
            <w:tcW w:w="1976" w:type="dxa"/>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sz w:val="22"/>
                <w:szCs w:val="22"/>
                <w:lang w:val="en-US" w:eastAsia="zh-CN"/>
              </w:rPr>
            </w:pPr>
            <w:r>
              <w:rPr>
                <w:rFonts w:hint="eastAsia" w:ascii="Wingdings" w:hAnsi="Wingdings"/>
                <w:sz w:val="22"/>
                <w:szCs w:val="22"/>
                <w:lang w:val="en-US" w:eastAsia="zh-CN"/>
              </w:rPr>
              <w:t xml:space="preserve">□ </w:t>
            </w:r>
            <w:r>
              <w:rPr>
                <w:rFonts w:hint="eastAsia"/>
                <w:sz w:val="22"/>
                <w:szCs w:val="22"/>
                <w:lang w:val="en-US" w:eastAsia="zh-CN"/>
              </w:rPr>
              <w:t xml:space="preserve">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563"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sz w:val="22"/>
                <w:szCs w:val="22"/>
                <w:lang w:val="en-US" w:eastAsia="zh-CN"/>
              </w:rPr>
            </w:pPr>
            <w:r>
              <w:rPr>
                <w:rFonts w:hint="eastAsia"/>
                <w:sz w:val="22"/>
                <w:szCs w:val="22"/>
                <w:lang w:val="en-US" w:eastAsia="zh-CN"/>
              </w:rPr>
              <w:sym w:font="Wingdings 2" w:char="0052"/>
            </w:r>
            <w:r>
              <w:rPr>
                <w:rFonts w:hint="eastAsia"/>
                <w:sz w:val="22"/>
                <w:szCs w:val="22"/>
                <w:lang w:val="en-US" w:eastAsia="zh-CN"/>
              </w:rPr>
              <w:t xml:space="preserve"> GB/T 23331-2020 idt ISO 50001:2018标准；</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sz w:val="22"/>
                <w:szCs w:val="22"/>
                <w:lang w:val="en-US" w:eastAsia="zh-CN"/>
              </w:rPr>
            </w:pPr>
            <w:r>
              <w:rPr>
                <w:rFonts w:hint="eastAsia"/>
                <w:sz w:val="22"/>
                <w:szCs w:val="22"/>
                <w:lang w:val="en-US" w:eastAsia="zh-CN"/>
              </w:rPr>
              <w:sym w:font="Wingdings 2" w:char="0052"/>
            </w:r>
            <w:r>
              <w:rPr>
                <w:rFonts w:hint="eastAsia"/>
                <w:sz w:val="22"/>
                <w:szCs w:val="22"/>
                <w:lang w:val="en-US" w:eastAsia="zh-CN"/>
              </w:rPr>
              <w:t xml:space="preserve">RB/T </w:t>
            </w:r>
            <w:r>
              <w:rPr>
                <w:rFonts w:hint="eastAsia" w:ascii="宋体" w:hAnsi="宋体" w:eastAsia="宋体" w:cs="Times New Roman"/>
                <w:b/>
                <w:sz w:val="21"/>
                <w:szCs w:val="21"/>
                <w:lang w:val="de-DE"/>
              </w:rPr>
              <w:t>121-2016 能源管理体系 建材企业(不含水泥、玻璃、陶瓷)企业认证要求</w:t>
            </w:r>
            <w:r>
              <w:rPr>
                <w:rFonts w:hint="eastAsia"/>
                <w:sz w:val="22"/>
                <w:szCs w:val="22"/>
                <w:lang w:val="en-US" w:eastAsia="zh-CN"/>
              </w:rPr>
              <w:t xml:space="preserve">                     </w:t>
            </w:r>
          </w:p>
        </w:tc>
        <w:tc>
          <w:tcPr>
            <w:tcW w:w="1847"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sz w:val="22"/>
                <w:szCs w:val="22"/>
                <w:lang w:val="en-US" w:eastAsia="zh-CN"/>
              </w:rPr>
            </w:pPr>
            <w:r>
              <w:rPr>
                <w:rFonts w:hint="eastAsia"/>
                <w:sz w:val="22"/>
                <w:szCs w:val="22"/>
                <w:lang w:val="en-US" w:eastAsia="zh-CN"/>
              </w:rPr>
              <w:t>企业体系有效人数</w:t>
            </w:r>
          </w:p>
        </w:tc>
        <w:tc>
          <w:tcPr>
            <w:tcW w:w="1976" w:type="dxa"/>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sz w:val="22"/>
                <w:szCs w:val="22"/>
                <w:lang w:val="en-US" w:eastAsia="zh-CN"/>
              </w:rPr>
            </w:pPr>
            <w:bookmarkStart w:id="5" w:name="体系人数"/>
            <w:r>
              <w:rPr>
                <w:rFonts w:hint="eastAsia"/>
                <w:sz w:val="22"/>
                <w:szCs w:val="22"/>
                <w:lang w:val="en-US" w:eastAsia="zh-CN"/>
              </w:rPr>
              <w:t>25</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sz w:val="22"/>
                <w:szCs w:val="22"/>
                <w:lang w:val="en-US" w:eastAsia="zh-CN"/>
              </w:rPr>
            </w:pPr>
            <w:r>
              <w:rPr>
                <w:rFonts w:hint="eastAsia"/>
                <w:sz w:val="22"/>
                <w:szCs w:val="22"/>
                <w:lang w:val="en-US" w:eastAsia="zh-CN"/>
              </w:rPr>
              <w:t>审核类型</w:t>
            </w:r>
          </w:p>
        </w:tc>
        <w:tc>
          <w:tcPr>
            <w:tcW w:w="8386" w:type="dxa"/>
            <w:gridSpan w:val="5"/>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2"/>
                <w:szCs w:val="22"/>
                <w:lang w:val="en-US" w:eastAsia="zh-CN"/>
              </w:rPr>
            </w:pPr>
            <w:bookmarkStart w:id="6" w:name="初审"/>
            <w:r>
              <w:rPr>
                <w:rFonts w:hint="eastAsia"/>
                <w:b/>
                <w:color w:val="000000" w:themeColor="text1"/>
                <w:spacing w:val="-2"/>
                <w:sz w:val="21"/>
                <w:szCs w:val="21"/>
              </w:rPr>
              <w:t>■</w:t>
            </w:r>
            <w:bookmarkEnd w:id="6"/>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7" w:name="监督勾选"/>
            <w:r>
              <w:rPr>
                <w:rFonts w:hint="eastAsia"/>
                <w:b/>
                <w:color w:val="000000" w:themeColor="text1"/>
                <w:spacing w:val="-2"/>
                <w:sz w:val="21"/>
                <w:szCs w:val="21"/>
              </w:rPr>
              <w:t>□</w:t>
            </w:r>
            <w:bookmarkEnd w:id="7"/>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8" w:name="再认证勾选"/>
            <w:r>
              <w:rPr>
                <w:rFonts w:hint="eastAsia"/>
                <w:b/>
                <w:color w:val="000000" w:themeColor="text1"/>
                <w:spacing w:val="-2"/>
                <w:sz w:val="21"/>
                <w:szCs w:val="21"/>
              </w:rPr>
              <w:t>□</w:t>
            </w:r>
            <w:bookmarkEnd w:id="8"/>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9" w:name="特殊审核勾选"/>
            <w:r>
              <w:rPr>
                <w:rFonts w:hint="eastAsia"/>
                <w:b/>
                <w:color w:val="000000" w:themeColor="text1"/>
                <w:spacing w:val="-2"/>
                <w:sz w:val="21"/>
                <w:szCs w:val="21"/>
                <w:lang w:val="en-US" w:eastAsia="zh-CN"/>
              </w:rPr>
              <w:t>□</w:t>
            </w:r>
            <w:bookmarkEnd w:id="9"/>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sz w:val="22"/>
                <w:szCs w:val="22"/>
                <w:lang w:val="en-US" w:eastAsia="zh-CN"/>
              </w:rPr>
            </w:pPr>
            <w:r>
              <w:rPr>
                <w:rFonts w:hint="eastAsia"/>
                <w:sz w:val="22"/>
                <w:szCs w:val="22"/>
                <w:lang w:val="en-US" w:eastAsia="zh-CN"/>
              </w:rPr>
              <w:t>变更内容</w:t>
            </w:r>
          </w:p>
        </w:tc>
        <w:tc>
          <w:tcPr>
            <w:tcW w:w="8386" w:type="dxa"/>
            <w:gridSpan w:val="5"/>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keepNext w:val="0"/>
              <w:keepLines w:val="0"/>
              <w:pageBreakBefore w:val="0"/>
              <w:widowControl w:val="0"/>
              <w:kinsoku/>
              <w:wordWrap/>
              <w:overflowPunct/>
              <w:topLinePunct w:val="0"/>
              <w:autoSpaceDE/>
              <w:autoSpaceDN/>
              <w:bidi w:val="0"/>
              <w:adjustRightInd/>
              <w:spacing w:after="0" w:line="240" w:lineRule="auto"/>
              <w:ind w:left="0"/>
              <w:jc w:val="center"/>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lang w:val="en-US" w:eastAsia="zh-CN" w:bidi="ar-SA"/>
              </w:rPr>
            </w:pPr>
          </w:p>
        </w:tc>
        <w:tc>
          <w:tcPr>
            <w:tcW w:w="3373" w:type="dxa"/>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lang w:val="en-GB" w:eastAsia="zh-CN" w:bidi="ar-SA"/>
              </w:rPr>
            </w:pPr>
            <w:bookmarkStart w:id="10" w:name="组织名称Add1"/>
            <w:r>
              <w:rPr>
                <w:rFonts w:hint="eastAsia" w:ascii="Times New Roman" w:hAnsi="Times New Roman" w:eastAsia="宋体" w:cs="Times New Roman"/>
                <w:b w:val="0"/>
                <w:kern w:val="2"/>
                <w:sz w:val="22"/>
                <w:szCs w:val="22"/>
                <w:lang w:val="en-US" w:eastAsia="zh-CN" w:bidi="ar-SA"/>
              </w:rPr>
              <w:t>河北孚领商品混凝土有限公司</w:t>
            </w:r>
            <w:bookmarkEnd w:id="10"/>
          </w:p>
        </w:tc>
        <w:tc>
          <w:tcPr>
            <w:tcW w:w="5013" w:type="dxa"/>
            <w:gridSpan w:val="4"/>
            <w:vMerge w:val="restart"/>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cs="Times New Roman"/>
                <w:b w:val="0"/>
                <w:kern w:val="2"/>
                <w:sz w:val="22"/>
                <w:szCs w:val="22"/>
                <w:lang w:val="en-US" w:eastAsia="zh-CN" w:bidi="ar-SA"/>
              </w:rPr>
            </w:pPr>
            <w:bookmarkStart w:id="11" w:name="审核范围"/>
            <w:r>
              <w:rPr>
                <w:rFonts w:hint="eastAsia" w:cs="Times New Roman"/>
                <w:b w:val="0"/>
                <w:kern w:val="2"/>
                <w:sz w:val="22"/>
                <w:szCs w:val="22"/>
                <w:lang w:val="en-US" w:eastAsia="zh-CN" w:bidi="ar-SA"/>
              </w:rPr>
              <w:t>商品混凝土的生产和服务过程所涉及的能源管理活动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lang w:val="en-US" w:eastAsia="zh-CN" w:bidi="ar-SA"/>
              </w:rPr>
            </w:pPr>
            <w:bookmarkStart w:id="12" w:name="注册地址"/>
            <w:r>
              <w:rPr>
                <w:rFonts w:hint="eastAsia" w:ascii="Times New Roman" w:hAnsi="Times New Roman" w:eastAsia="宋体" w:cs="Times New Roman"/>
                <w:b w:val="0"/>
                <w:kern w:val="2"/>
                <w:sz w:val="22"/>
                <w:szCs w:val="22"/>
                <w:lang w:val="en-GB" w:eastAsia="zh-CN" w:bidi="ar-SA"/>
              </w:rPr>
              <w:t>保定市徐水区遂城镇遂城村</w:t>
            </w:r>
            <w:bookmarkEnd w:id="12"/>
          </w:p>
        </w:tc>
        <w:tc>
          <w:tcPr>
            <w:tcW w:w="5013" w:type="dxa"/>
            <w:gridSpan w:val="4"/>
            <w:vMerge w:val="continue"/>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lang w:val="en-US" w:eastAsia="zh-CN" w:bidi="ar-SA"/>
              </w:rPr>
            </w:pPr>
            <w:bookmarkStart w:id="13" w:name="办公地址"/>
            <w:r>
              <w:rPr>
                <w:rFonts w:hint="eastAsia" w:ascii="Times New Roman" w:hAnsi="Times New Roman" w:eastAsia="宋体" w:cs="Times New Roman"/>
                <w:b w:val="0"/>
                <w:kern w:val="2"/>
                <w:sz w:val="22"/>
                <w:szCs w:val="22"/>
                <w:lang w:val="en-GB" w:eastAsia="zh-CN" w:bidi="ar-SA"/>
              </w:rPr>
              <w:t>保定市徐水区遂城镇遂城村</w:t>
            </w:r>
            <w:bookmarkEnd w:id="13"/>
          </w:p>
        </w:tc>
        <w:tc>
          <w:tcPr>
            <w:tcW w:w="5013" w:type="dxa"/>
            <w:gridSpan w:val="4"/>
            <w:vMerge w:val="continue"/>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lang w:val="en-US" w:eastAsia="zh-CN" w:bidi="ar-SA"/>
              </w:rPr>
            </w:pPr>
          </w:p>
        </w:tc>
        <w:tc>
          <w:tcPr>
            <w:tcW w:w="3373" w:type="dxa"/>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highlight w:val="none"/>
                <w:lang w:val="en-US" w:eastAsia="zh-CN" w:bidi="ar-SA"/>
              </w:rPr>
            </w:pPr>
            <w:r>
              <w:rPr>
                <w:rFonts w:cs="Arial"/>
                <w:b/>
                <w:bCs/>
                <w:sz w:val="22"/>
                <w:szCs w:val="16"/>
                <w:highlight w:val="none"/>
                <w:lang w:val="en-US"/>
              </w:rPr>
              <w:t>Company Name</w:t>
            </w:r>
            <w:r>
              <w:rPr>
                <w:rFonts w:hint="eastAsia" w:ascii="Times New Roman" w:hAnsi="Times New Roman" w:eastAsia="宋体" w:cs="Times New Roman"/>
                <w:b w:val="0"/>
                <w:kern w:val="2"/>
                <w:sz w:val="22"/>
                <w:szCs w:val="22"/>
                <w:highlight w:val="none"/>
                <w:lang w:val="en-GB" w:eastAsia="zh-CN" w:bidi="ar-SA"/>
              </w:rPr>
              <w:t>公司名称</w:t>
            </w:r>
          </w:p>
        </w:tc>
        <w:tc>
          <w:tcPr>
            <w:tcW w:w="3373" w:type="dxa"/>
            <w:vMerge w:val="restart"/>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Hebei Fu Ling commercial concrete Co. LTD</w:t>
            </w:r>
          </w:p>
        </w:tc>
        <w:tc>
          <w:tcPr>
            <w:tcW w:w="1337"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EnMS</w:t>
            </w:r>
          </w:p>
        </w:tc>
        <w:tc>
          <w:tcPr>
            <w:tcW w:w="3676"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sz w:val="21"/>
                <w:szCs w:val="16"/>
                <w:highlight w:val="none"/>
                <w:lang w:val="en-US" w:eastAsia="zh-CN"/>
              </w:rPr>
            </w:pPr>
            <w:r>
              <w:rPr>
                <w:rFonts w:hint="eastAsia"/>
                <w:sz w:val="21"/>
                <w:szCs w:val="16"/>
                <w:highlight w:val="none"/>
                <w:lang w:val="en-US" w:eastAsia="zh-CN"/>
              </w:rPr>
              <w:t>Commercial concrete production and service process involved in the energy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76" w:type="dxa"/>
            <w:vMerge w:val="continue"/>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cs="Arial"/>
                <w:b/>
                <w:bCs/>
                <w:sz w:val="22"/>
                <w:szCs w:val="16"/>
                <w:highlight w:val="none"/>
                <w:lang w:val="en-US"/>
              </w:rPr>
            </w:pPr>
          </w:p>
        </w:tc>
        <w:tc>
          <w:tcPr>
            <w:tcW w:w="3373" w:type="dxa"/>
            <w:vMerge w:val="continue"/>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cs="Arial"/>
                <w:b/>
                <w:bCs/>
                <w:sz w:val="22"/>
                <w:szCs w:val="16"/>
                <w:highlight w:val="none"/>
                <w:lang w:val="en-US" w:eastAsia="zh-CN"/>
              </w:rPr>
            </w:pPr>
          </w:p>
        </w:tc>
        <w:tc>
          <w:tcPr>
            <w:tcW w:w="1337"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highlight w:val="none"/>
                <w:lang w:val="en-US" w:eastAsia="zh-CN" w:bidi="ar-SA"/>
              </w:rPr>
            </w:pPr>
          </w:p>
        </w:tc>
        <w:tc>
          <w:tcPr>
            <w:tcW w:w="3676"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highlight w:val="none"/>
                <w:lang w:val="en-US" w:eastAsia="zh-CN" w:bidi="ar-SA"/>
              </w:rPr>
            </w:pPr>
            <w:r>
              <w:rPr>
                <w:sz w:val="22"/>
                <w:szCs w:val="16"/>
                <w:highlight w:val="none"/>
              </w:rPr>
              <w:fldChar w:fldCharType="begin"/>
            </w:r>
            <w:r>
              <w:rPr>
                <w:sz w:val="22"/>
                <w:szCs w:val="16"/>
                <w:highlight w:val="none"/>
                <w:lang w:val="en-GB" w:eastAsia="zh-CN"/>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lang w:val="en-US"/>
              </w:rPr>
              <w:t>Registration Address</w:t>
            </w:r>
            <w:r>
              <w:rPr>
                <w:rFonts w:hint="eastAsia" w:ascii="Times New Roman" w:hAnsi="Times New Roman" w:eastAsia="宋体" w:cs="Times New Roman"/>
                <w:b w:val="0"/>
                <w:kern w:val="2"/>
                <w:sz w:val="22"/>
                <w:szCs w:val="22"/>
                <w:highlight w:val="none"/>
                <w:lang w:val="en-GB" w:eastAsia="zh-CN" w:bidi="ar-SA"/>
              </w:rPr>
              <w:t>注册地址</w:t>
            </w:r>
          </w:p>
        </w:tc>
        <w:tc>
          <w:tcPr>
            <w:tcW w:w="3373" w:type="dxa"/>
            <w:vMerge w:val="restart"/>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Suicheng Village, Suicheng Town, Xushui District, Baoding City</w:t>
            </w:r>
          </w:p>
        </w:tc>
        <w:tc>
          <w:tcPr>
            <w:tcW w:w="1337"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b w:val="0"/>
                <w:kern w:val="2"/>
                <w:sz w:val="22"/>
                <w:szCs w:val="22"/>
                <w:highlight w:val="none"/>
                <w:lang w:val="en-US" w:eastAsia="zh-CN" w:bidi="ar-SA"/>
              </w:rPr>
            </w:pPr>
          </w:p>
        </w:tc>
        <w:tc>
          <w:tcPr>
            <w:tcW w:w="3676" w:type="dxa"/>
            <w:gridSpan w:val="2"/>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eastAsia="宋体" w:cs="Times New Roman"/>
                <w:b w:val="0"/>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sz w:val="22"/>
                <w:szCs w:val="16"/>
                <w:highlight w:val="none"/>
              </w:rPr>
            </w:pPr>
          </w:p>
        </w:tc>
        <w:tc>
          <w:tcPr>
            <w:tcW w:w="3373" w:type="dxa"/>
            <w:vMerge w:val="continue"/>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cs="Arial"/>
                <w:b/>
                <w:bCs/>
                <w:sz w:val="22"/>
                <w:szCs w:val="16"/>
                <w:highlight w:val="none"/>
                <w:lang w:val="en-US" w:eastAsia="zh-CN"/>
              </w:rPr>
            </w:pPr>
          </w:p>
        </w:tc>
        <w:tc>
          <w:tcPr>
            <w:tcW w:w="1337"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default" w:ascii="Times New Roman" w:hAnsi="Times New Roman" w:eastAsia="宋体" w:cs="Times New Roman"/>
                <w:b w:val="0"/>
                <w:kern w:val="2"/>
                <w:sz w:val="22"/>
                <w:szCs w:val="22"/>
                <w:highlight w:val="none"/>
                <w:lang w:val="en-US" w:eastAsia="zh-CN" w:bidi="ar-SA"/>
              </w:rPr>
            </w:pPr>
          </w:p>
        </w:tc>
        <w:tc>
          <w:tcPr>
            <w:tcW w:w="3676"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default" w:ascii="Times New Roman" w:hAnsi="Times New Roman" w:eastAsia="宋体" w:cs="Times New Roman"/>
                <w:b w:val="0"/>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highlight w:val="none"/>
                <w:lang w:val="en-GB" w:eastAsia="zh-CN" w:bidi="ar-SA"/>
              </w:rPr>
            </w:pPr>
            <w:r>
              <w:rPr>
                <w:rFonts w:cs="Arial"/>
                <w:b/>
                <w:bCs/>
                <w:sz w:val="22"/>
                <w:szCs w:val="16"/>
                <w:highlight w:val="none"/>
                <w:lang w:val="en-US"/>
              </w:rPr>
              <w:t>Operation Address</w:t>
            </w:r>
            <w:r>
              <w:rPr>
                <w:rFonts w:hint="eastAsia" w:cs="Times New Roman"/>
                <w:b w:val="0"/>
                <w:kern w:val="2"/>
                <w:sz w:val="22"/>
                <w:szCs w:val="22"/>
                <w:highlight w:val="none"/>
                <w:lang w:val="en-US" w:eastAsia="zh-CN" w:bidi="ar-SA"/>
              </w:rPr>
              <w:t>经营</w:t>
            </w:r>
            <w:r>
              <w:rPr>
                <w:rFonts w:hint="eastAsia" w:ascii="Times New Roman" w:hAnsi="Times New Roman" w:eastAsia="宋体" w:cs="Times New Roman"/>
                <w:b w:val="0"/>
                <w:kern w:val="2"/>
                <w:sz w:val="22"/>
                <w:szCs w:val="22"/>
                <w:highlight w:val="none"/>
                <w:lang w:val="en-GB" w:eastAsia="zh-CN" w:bidi="ar-SA"/>
              </w:rPr>
              <w:t>地址</w:t>
            </w:r>
          </w:p>
        </w:tc>
        <w:tc>
          <w:tcPr>
            <w:tcW w:w="3373" w:type="dxa"/>
            <w:vMerge w:val="restart"/>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Suicheng Village, Suicheng Town, Xushui District, Baoding City</w:t>
            </w:r>
          </w:p>
        </w:tc>
        <w:tc>
          <w:tcPr>
            <w:tcW w:w="1337"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highlight w:val="none"/>
                <w:lang w:val="en-US" w:eastAsia="zh-CN" w:bidi="ar-SA"/>
              </w:rPr>
            </w:pPr>
          </w:p>
        </w:tc>
        <w:tc>
          <w:tcPr>
            <w:tcW w:w="3676"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cs="Arial"/>
                <w:b/>
                <w:bCs/>
                <w:sz w:val="22"/>
                <w:szCs w:val="16"/>
                <w:lang w:val="en-US"/>
              </w:rPr>
            </w:pPr>
          </w:p>
        </w:tc>
        <w:tc>
          <w:tcPr>
            <w:tcW w:w="3373" w:type="dxa"/>
            <w:vMerge w:val="continue"/>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cs="Arial"/>
                <w:b/>
                <w:bCs/>
                <w:sz w:val="22"/>
                <w:szCs w:val="16"/>
                <w:lang w:val="en-US" w:eastAsia="zh-CN"/>
              </w:rPr>
            </w:pPr>
          </w:p>
        </w:tc>
        <w:tc>
          <w:tcPr>
            <w:tcW w:w="1337"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p>
        </w:tc>
        <w:tc>
          <w:tcPr>
            <w:tcW w:w="3676" w:type="dxa"/>
            <w:gridSpan w:val="2"/>
          </w:tcPr>
          <w:p>
            <w:pPr>
              <w:keepNext w:val="0"/>
              <w:keepLines w:val="0"/>
              <w:pageBreakBefore w:val="0"/>
              <w:widowControl w:val="0"/>
              <w:kinsoku/>
              <w:wordWrap/>
              <w:overflowPunct/>
              <w:topLinePunct w:val="0"/>
              <w:autoSpaceDE/>
              <w:autoSpaceDN/>
              <w:bidi w:val="0"/>
              <w:adjustRightInd/>
              <w:snapToGrid w:val="0"/>
              <w:spacing w:after="0" w:line="0" w:lineRule="atLeast"/>
              <w:jc w:val="left"/>
              <w:textAlignment w:val="auto"/>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563"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84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p>
            <w:pPr>
              <w:snapToGrid w:val="0"/>
              <w:spacing w:line="0" w:lineRule="atLeast"/>
              <w:jc w:val="left"/>
              <w:rPr>
                <w:rFonts w:hint="eastAsia" w:ascii="Times New Roman" w:hAnsi="Times New Roman" w:eastAsia="宋体" w:cs="Times New Roman"/>
                <w:b w:val="0"/>
                <w:kern w:val="2"/>
                <w:sz w:val="22"/>
                <w:szCs w:val="22"/>
                <w:lang w:val="en-US" w:eastAsia="zh-CN" w:bidi="ar-SA"/>
              </w:rPr>
            </w:pPr>
            <w:r>
              <w:drawing>
                <wp:inline distT="0" distB="0" distL="0" distR="0">
                  <wp:extent cx="888365" cy="243840"/>
                  <wp:effectExtent l="0" t="0" r="635" b="10160"/>
                  <wp:docPr id="2" name="图片 2"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审核任务\电子签\李丽英电子签名.png"/>
                          <pic:cNvPicPr>
                            <a:picLocks noChangeAspect="1" noChangeArrowheads="1"/>
                          </pic:cNvPicPr>
                        </pic:nvPicPr>
                        <pic:blipFill>
                          <a:blip r:embed="rId5" cstate="print"/>
                          <a:srcRect/>
                          <a:stretch>
                            <a:fillRect/>
                          </a:stretch>
                        </pic:blipFill>
                        <pic:spPr>
                          <a:xfrm>
                            <a:off x="0" y="0"/>
                            <a:ext cx="888365" cy="243840"/>
                          </a:xfrm>
                          <a:prstGeom prst="rect">
                            <a:avLst/>
                          </a:prstGeom>
                          <a:noFill/>
                          <a:ln w="9525">
                            <a:noFill/>
                            <a:miter lim="800000"/>
                            <a:headEnd/>
                            <a:tailEnd/>
                          </a:ln>
                        </pic:spPr>
                      </pic:pic>
                    </a:graphicData>
                  </a:graphic>
                </wp:inline>
              </w:drawing>
            </w:r>
          </w:p>
        </w:tc>
      </w:tr>
    </w:tbl>
    <w:p>
      <w:pPr>
        <w:snapToGrid w:val="0"/>
        <w:spacing w:line="0" w:lineRule="atLeast"/>
        <w:jc w:val="both"/>
        <w:rPr>
          <w:rFonts w:hint="eastAsia"/>
          <w:lang w:val="en-US" w:eastAsia="zh-CN"/>
        </w:rPr>
      </w:pPr>
    </w:p>
    <w:p>
      <w:pPr>
        <w:pStyle w:val="2"/>
        <w:rPr>
          <w:rFonts w:hint="eastAsia"/>
          <w:lang w:val="en-US" w:eastAsia="zh-CN"/>
        </w:rPr>
      </w:pPr>
      <w:bookmarkStart w:id="17" w:name="_GoBack"/>
      <w:bookmarkEnd w:id="17"/>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14" w:name="组织名称Add2"/>
      <w:r>
        <w:rPr>
          <w:rFonts w:hint="eastAsia"/>
          <w:b/>
          <w:color w:val="000000" w:themeColor="text1"/>
          <w:sz w:val="22"/>
          <w:szCs w:val="22"/>
          <w:u w:val="single"/>
          <w:lang w:val="en-US" w:eastAsia="zh-CN"/>
        </w:rPr>
        <w:t>河北孚领商品混凝土有限公司</w:t>
      </w:r>
      <w:bookmarkEnd w:id="14"/>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15" w:name="证书编号Add1"/>
      <w:bookmarkEnd w:id="15"/>
      <w:r>
        <w:rPr>
          <w:rFonts w:hint="eastAsia"/>
          <w:b/>
          <w:color w:val="000000" w:themeColor="text1"/>
          <w:sz w:val="22"/>
          <w:szCs w:val="22"/>
          <w:u w:val="single"/>
          <w:lang w:val="en-US" w:eastAsia="zh-CN"/>
        </w:rPr>
        <w:t xml:space="preserve"> </w:t>
      </w:r>
    </w:p>
    <w:p>
      <w:pPr>
        <w:pStyle w:val="3"/>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16" w:name="生产地址"/>
      <w:r>
        <w:rPr>
          <w:rFonts w:hint="eastAsia"/>
          <w:b/>
          <w:color w:val="000000" w:themeColor="text1"/>
          <w:sz w:val="22"/>
          <w:szCs w:val="22"/>
          <w:u w:val="single"/>
          <w:lang w:val="en-US" w:eastAsia="zh-CN"/>
        </w:rPr>
        <w:t>保定市徐水区遂城镇遂城村</w:t>
      </w:r>
      <w:bookmarkEnd w:id="16"/>
      <w:r>
        <w:rPr>
          <w:rFonts w:hint="eastAsia"/>
          <w:b/>
          <w:color w:val="000000" w:themeColor="text1"/>
          <w:sz w:val="22"/>
          <w:szCs w:val="22"/>
          <w:u w:val="single"/>
          <w:lang w:val="en-US" w:eastAsia="zh-CN"/>
        </w:rPr>
        <w:t xml:space="preserve">  </w:t>
      </w:r>
    </w:p>
    <w:p>
      <w:pPr>
        <w:pStyle w:val="3"/>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u w:val="single"/>
        </w:rPr>
        <w:t>GB/T 23331-2020</w:t>
      </w:r>
      <w:r>
        <w:rPr>
          <w:rFonts w:hint="eastAsia"/>
          <w:b/>
          <w:color w:val="000000" w:themeColor="text1"/>
          <w:sz w:val="22"/>
          <w:szCs w:val="22"/>
          <w:u w:val="single"/>
          <w:lang w:val="en-US" w:eastAsia="zh-CN"/>
        </w:rPr>
        <w:t>/</w:t>
      </w:r>
      <w:r>
        <w:rPr>
          <w:rFonts w:hint="eastAsia"/>
          <w:b/>
          <w:color w:val="000000" w:themeColor="text1"/>
          <w:sz w:val="22"/>
          <w:szCs w:val="22"/>
          <w:u w:val="single"/>
        </w:rPr>
        <w:t>ISO50001:2018《能源管理体系 要求及使用指南》</w:t>
      </w:r>
    </w:p>
    <w:p>
      <w:pPr>
        <w:pStyle w:val="3"/>
        <w:spacing w:line="400" w:lineRule="exact"/>
        <w:ind w:firstLine="1546"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r>
        <w:rPr>
          <w:rFonts w:hint="eastAsia" w:ascii="宋体" w:hAnsi="宋体" w:eastAsia="宋体" w:cs="Times New Roman"/>
          <w:b/>
          <w:sz w:val="21"/>
          <w:szCs w:val="21"/>
          <w:u w:val="single"/>
          <w:lang w:val="de-DE"/>
        </w:rPr>
        <w:t>121-2016 能源管理体系 建材企业(不含水泥、玻璃、陶瓷)企业认证要求</w:t>
      </w:r>
      <w:r>
        <w:rPr>
          <w:rFonts w:hint="eastAsia"/>
          <w:b/>
          <w:color w:val="000000" w:themeColor="text1"/>
          <w:sz w:val="22"/>
          <w:szCs w:val="22"/>
          <w:u w:val="single"/>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sz w:val="20"/>
                <w:szCs w:val="22"/>
              </w:rPr>
            </w:pPr>
            <w:r>
              <w:rPr>
                <w:rFonts w:hint="eastAsia"/>
                <w:sz w:val="20"/>
                <w:szCs w:val="22"/>
              </w:rPr>
              <w:t>初次审核</w:t>
            </w:r>
          </w:p>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11</w:t>
            </w:r>
            <w:r>
              <w:rPr>
                <w:rFonts w:hint="eastAsia"/>
                <w:sz w:val="20"/>
                <w:szCs w:val="22"/>
              </w:rPr>
              <w:t>月</w:t>
            </w:r>
          </w:p>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ascii="宋体" w:hAnsi="宋体"/>
                <w:b/>
                <w:color w:val="000000" w:themeColor="text1"/>
                <w:sz w:val="24"/>
                <w:szCs w:val="24"/>
              </w:rPr>
            </w:pPr>
            <w:r>
              <w:rPr>
                <w:rFonts w:hint="eastAsia"/>
                <w:sz w:val="20"/>
                <w:szCs w:val="22"/>
                <w:u w:val="single"/>
                <w:lang w:val="en-US" w:eastAsia="zh-CN"/>
              </w:rPr>
              <w:t>10~12</w:t>
            </w:r>
            <w:r>
              <w:rPr>
                <w:rFonts w:hint="eastAsia"/>
                <w:sz w:val="20"/>
                <w:szCs w:val="22"/>
              </w:rPr>
              <w:t>日</w:t>
            </w:r>
          </w:p>
        </w:tc>
        <w:tc>
          <w:tcPr>
            <w:tcW w:w="4735"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sz w:val="20"/>
                <w:szCs w:val="22"/>
              </w:rPr>
            </w:pPr>
            <w:r>
              <w:rPr>
                <w:rFonts w:hint="eastAsia"/>
                <w:b/>
                <w:bCs/>
                <w:sz w:val="20"/>
                <w:szCs w:val="22"/>
              </w:rPr>
              <w:t>能耗统计期：</w:t>
            </w:r>
          </w:p>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ascii="宋体" w:hAnsi="宋体"/>
                <w:b/>
                <w:color w:val="000000" w:themeColor="text1"/>
                <w:szCs w:val="24"/>
              </w:rPr>
            </w:pPr>
            <w:r>
              <w:rPr>
                <w:rFonts w:hint="eastAsia"/>
                <w:sz w:val="20"/>
                <w:szCs w:val="22"/>
                <w:u w:val="none"/>
              </w:rPr>
              <w:t>20</w:t>
            </w:r>
            <w:r>
              <w:rPr>
                <w:rFonts w:hint="eastAsia"/>
                <w:sz w:val="20"/>
                <w:szCs w:val="22"/>
                <w:u w:val="none"/>
                <w:lang w:val="en-US" w:eastAsia="zh-CN"/>
              </w:rPr>
              <w:t>21</w:t>
            </w:r>
            <w:r>
              <w:rPr>
                <w:rFonts w:hint="eastAsia"/>
                <w:sz w:val="20"/>
                <w:szCs w:val="22"/>
                <w:u w:val="none"/>
              </w:rPr>
              <w:t>年</w:t>
            </w:r>
            <w:r>
              <w:rPr>
                <w:rFonts w:hint="eastAsia"/>
                <w:sz w:val="20"/>
                <w:szCs w:val="22"/>
                <w:u w:val="none"/>
                <w:lang w:val="en-US" w:eastAsia="zh-CN"/>
              </w:rPr>
              <w:t>4</w:t>
            </w:r>
            <w:r>
              <w:rPr>
                <w:rFonts w:hint="eastAsia"/>
                <w:sz w:val="20"/>
                <w:szCs w:val="22"/>
                <w:u w:val="none"/>
              </w:rPr>
              <w:t>月</w:t>
            </w:r>
            <w:r>
              <w:rPr>
                <w:rFonts w:hint="eastAsia"/>
                <w:sz w:val="20"/>
                <w:szCs w:val="22"/>
                <w:u w:val="none"/>
                <w:lang w:val="en-US" w:eastAsia="zh-CN"/>
              </w:rPr>
              <w:t>至</w:t>
            </w:r>
            <w:r>
              <w:rPr>
                <w:rFonts w:hint="eastAsia"/>
                <w:sz w:val="20"/>
                <w:szCs w:val="22"/>
                <w:u w:val="none"/>
              </w:rPr>
              <w:t>20</w:t>
            </w:r>
            <w:r>
              <w:rPr>
                <w:rFonts w:hint="eastAsia"/>
                <w:sz w:val="20"/>
                <w:szCs w:val="22"/>
                <w:u w:val="none"/>
                <w:lang w:val="en-US" w:eastAsia="zh-CN"/>
              </w:rPr>
              <w:t>21</w:t>
            </w:r>
            <w:r>
              <w:rPr>
                <w:rFonts w:hint="eastAsia"/>
                <w:sz w:val="20"/>
                <w:szCs w:val="22"/>
                <w:u w:val="none"/>
              </w:rPr>
              <w:t>年</w:t>
            </w:r>
            <w:r>
              <w:rPr>
                <w:rFonts w:hint="eastAsia"/>
                <w:sz w:val="20"/>
                <w:szCs w:val="22"/>
                <w:u w:val="none"/>
                <w:lang w:val="en-US" w:eastAsia="zh-CN"/>
              </w:rPr>
              <w:t>9</w:t>
            </w:r>
            <w:r>
              <w:rPr>
                <w:rFonts w:hint="eastAsia"/>
                <w:sz w:val="20"/>
                <w:szCs w:val="22"/>
                <w:u w:val="none"/>
              </w:rPr>
              <w:t>月</w:t>
            </w:r>
            <w:r>
              <w:rPr>
                <w:rFonts w:hint="eastAsia"/>
                <w:sz w:val="20"/>
                <w:szCs w:val="22"/>
                <w:u w:val="none"/>
                <w:lang w:val="en-US" w:eastAsia="zh-CN"/>
              </w:rPr>
              <w:t>30</w:t>
            </w:r>
            <w:r>
              <w:rPr>
                <w:rFonts w:hint="eastAsia"/>
                <w:sz w:val="20"/>
                <w:szCs w:val="22"/>
              </w:rPr>
              <w:t>日</w:t>
            </w:r>
          </w:p>
        </w:tc>
        <w:tc>
          <w:tcPr>
            <w:tcW w:w="2835" w:type="dxa"/>
            <w:vMerge w:val="restart"/>
          </w:tcPr>
          <w:p>
            <w:pPr>
              <w:pStyle w:val="3"/>
              <w:spacing w:line="320" w:lineRule="exact"/>
              <w:ind w:firstLine="0"/>
              <w:rPr>
                <w:rFonts w:hint="eastAsia" w:ascii="Times New Roman" w:hAnsi="Times New Roman" w:eastAsia="宋体" w:cs="Times New Roman"/>
                <w:b/>
                <w:bCs/>
                <w:kern w:val="2"/>
                <w:sz w:val="20"/>
                <w:szCs w:val="22"/>
                <w:lang w:val="en-US" w:eastAsia="zh-CN" w:bidi="ar-SA"/>
              </w:rPr>
            </w:pPr>
            <w:r>
              <w:rPr>
                <w:rFonts w:hint="eastAsia" w:ascii="Times New Roman" w:hAnsi="Times New Roman" w:eastAsia="宋体" w:cs="Times New Roman"/>
                <w:b/>
                <w:bCs/>
                <w:kern w:val="2"/>
                <w:sz w:val="20"/>
                <w:szCs w:val="22"/>
                <w:lang w:val="en-US" w:eastAsia="zh-CN" w:bidi="ar-SA"/>
              </w:rPr>
              <w:t>河北孚领商品混凝土有限公司经营所在地保定市徐水区遂城镇遂城村区域内的能源管理</w:t>
            </w:r>
          </w:p>
          <w:p>
            <w:pPr>
              <w:pStyle w:val="3"/>
              <w:spacing w:line="400" w:lineRule="exact"/>
              <w:ind w:firstLine="0" w:firstLineChars="0"/>
              <w:rPr>
                <w:rFonts w:hint="eastAsia"/>
                <w:sz w:val="20"/>
                <w:szCs w:val="22"/>
                <w:u w:val="none"/>
                <w:lang w:val="en-US" w:eastAsia="zh-CN"/>
              </w:rPr>
            </w:pPr>
            <w:r>
              <w:rPr>
                <w:rFonts w:hint="eastAsia" w:ascii="Times New Roman" w:hAnsi="Times New Roman" w:cs="Times New Roman"/>
                <w:sz w:val="20"/>
                <w:szCs w:val="22"/>
                <w:u w:val="none"/>
                <w:lang w:val="en-US" w:eastAsia="zh-CN"/>
              </w:rPr>
              <w:t>主要生产部门：生产部（搅拌站）</w:t>
            </w:r>
          </w:p>
          <w:p>
            <w:pPr>
              <w:spacing w:line="300" w:lineRule="exact"/>
              <w:rPr>
                <w:rFonts w:hint="eastAsia" w:ascii="Times New Roman" w:hAnsi="Times New Roman" w:cs="Times New Roman"/>
                <w:kern w:val="2"/>
                <w:sz w:val="20"/>
                <w:szCs w:val="22"/>
                <w:u w:val="none"/>
                <w:lang w:val="en-US" w:eastAsia="zh-CN" w:bidi="ar-SA"/>
              </w:rPr>
            </w:pPr>
            <w:r>
              <w:rPr>
                <w:rFonts w:hint="eastAsia"/>
                <w:sz w:val="20"/>
                <w:szCs w:val="22"/>
                <w:u w:val="none"/>
                <w:lang w:val="en-US" w:eastAsia="zh-CN"/>
              </w:rPr>
              <w:t>辅助生产系统：</w:t>
            </w:r>
            <w:r>
              <w:rPr>
                <w:rFonts w:hint="eastAsia" w:ascii="Times New Roman" w:hAnsi="Times New Roman" w:eastAsia="宋体" w:cs="Times New Roman"/>
                <w:kern w:val="2"/>
                <w:sz w:val="20"/>
                <w:szCs w:val="22"/>
                <w:u w:val="none"/>
                <w:lang w:val="en-US" w:eastAsia="zh-CN" w:bidi="ar-SA"/>
              </w:rPr>
              <w:t>办公室（含采购）、业务部、财务部</w:t>
            </w:r>
            <w:r>
              <w:rPr>
                <w:rFonts w:hint="eastAsia" w:ascii="Times New Roman" w:hAnsi="Times New Roman" w:cs="Times New Roman"/>
                <w:kern w:val="2"/>
                <w:sz w:val="20"/>
                <w:szCs w:val="22"/>
                <w:u w:val="none"/>
                <w:lang w:val="en-US" w:eastAsia="zh-CN" w:bidi="ar-SA"/>
              </w:rPr>
              <w:t>；</w:t>
            </w:r>
          </w:p>
          <w:p>
            <w:pPr>
              <w:pStyle w:val="3"/>
              <w:spacing w:line="320" w:lineRule="exact"/>
              <w:ind w:firstLine="0"/>
              <w:rPr>
                <w:rFonts w:hint="default" w:ascii="Times New Roman" w:hAnsi="Times New Roman" w:eastAsia="宋体" w:cs="Times New Roman"/>
                <w:b/>
                <w:bCs/>
                <w:kern w:val="2"/>
                <w:sz w:val="20"/>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szCs w:val="22"/>
              </w:rPr>
            </w:pPr>
          </w:p>
        </w:tc>
        <w:tc>
          <w:tcPr>
            <w:tcW w:w="4735" w:type="dxa"/>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default"/>
                <w:b/>
                <w:bCs/>
                <w:sz w:val="20"/>
                <w:lang w:val="en-US" w:eastAsia="zh-CN"/>
              </w:rPr>
            </w:pPr>
            <w:r>
              <w:rPr>
                <w:rFonts w:hint="eastAsia"/>
                <w:b/>
                <w:bCs/>
                <w:sz w:val="20"/>
                <w:lang w:val="en-US" w:eastAsia="zh-CN"/>
              </w:rPr>
              <w:t>产量：58683立方米</w:t>
            </w:r>
          </w:p>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ascii="宋体" w:hAnsi="宋体" w:eastAsia="宋体"/>
                <w:b/>
                <w:color w:val="000000" w:themeColor="text1"/>
                <w:szCs w:val="24"/>
                <w:lang w:eastAsia="zh-CN"/>
              </w:rPr>
            </w:pPr>
            <w:r>
              <w:rPr>
                <w:rFonts w:hint="eastAsia"/>
                <w:b/>
                <w:bCs/>
                <w:sz w:val="20"/>
                <w:lang w:val="en-US" w:eastAsia="zh-CN"/>
              </w:rPr>
              <w:t>产值（万元）：</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szCs w:val="22"/>
              </w:rPr>
            </w:pPr>
          </w:p>
        </w:tc>
        <w:tc>
          <w:tcPr>
            <w:tcW w:w="4735" w:type="dxa"/>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b/>
                <w:bCs/>
                <w:sz w:val="20"/>
                <w:szCs w:val="22"/>
                <w:lang w:val="zh-CN"/>
              </w:rPr>
            </w:pPr>
            <w:r>
              <w:rPr>
                <w:rFonts w:hint="eastAsia"/>
                <w:b/>
                <w:bCs/>
                <w:sz w:val="20"/>
                <w:szCs w:val="22"/>
                <w:lang w:val="en-US" w:eastAsia="zh-CN"/>
              </w:rPr>
              <w:t>生产</w:t>
            </w: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r>
              <w:rPr>
                <w:rFonts w:hint="eastAsia"/>
                <w:kern w:val="2"/>
                <w:sz w:val="21"/>
                <w:szCs w:val="24"/>
                <w:lang w:val="en-US" w:eastAsia="zh-CN" w:bidi="ar-SA"/>
              </w:rPr>
              <w:t>17.77</w:t>
            </w:r>
          </w:p>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default" w:eastAsia="宋体"/>
                <w:b/>
                <w:bCs/>
                <w:sz w:val="20"/>
                <w:szCs w:val="22"/>
                <w:lang w:val="en-US" w:eastAsia="zh-CN"/>
              </w:rPr>
            </w:pP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szCs w:val="22"/>
              </w:rPr>
            </w:pPr>
          </w:p>
        </w:tc>
        <w:tc>
          <w:tcPr>
            <w:tcW w:w="4735"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default"/>
                <w:b/>
                <w:bCs/>
                <w:sz w:val="20"/>
                <w:szCs w:val="22"/>
                <w:lang w:val="en-US" w:eastAsia="zh-CN"/>
              </w:rPr>
            </w:pPr>
            <w:r>
              <w:rPr>
                <w:rFonts w:hint="eastAsia"/>
                <w:b/>
                <w:bCs/>
                <w:sz w:val="20"/>
                <w:szCs w:val="22"/>
                <w:lang w:val="en-US" w:eastAsia="zh-CN"/>
              </w:rPr>
              <w:t>单位能耗：单位产品生产能耗0.3kgce/m</w:t>
            </w:r>
            <w:r>
              <w:rPr>
                <w:rFonts w:hint="eastAsia"/>
                <w:b/>
                <w:bCs/>
                <w:sz w:val="20"/>
                <w:szCs w:val="22"/>
                <w:vertAlign w:val="superscript"/>
                <w:lang w:val="en-US" w:eastAsia="zh-CN"/>
              </w:rPr>
              <w:t>3</w:t>
            </w:r>
          </w:p>
          <w:p>
            <w:pPr>
              <w:keepNext w:val="0"/>
              <w:keepLines w:val="0"/>
              <w:pageBreakBefore w:val="0"/>
              <w:widowControl w:val="0"/>
              <w:kinsoku/>
              <w:wordWrap/>
              <w:overflowPunct/>
              <w:topLinePunct w:val="0"/>
              <w:autoSpaceDE/>
              <w:autoSpaceDN/>
              <w:bidi w:val="0"/>
              <w:adjustRightInd/>
              <w:spacing w:after="0" w:line="240" w:lineRule="auto"/>
              <w:textAlignment w:val="auto"/>
              <w:rPr>
                <w:rFonts w:ascii="宋体" w:hAnsi="宋体"/>
                <w:b/>
                <w:color w:val="000000" w:themeColor="text1"/>
                <w:szCs w:val="24"/>
              </w:rPr>
            </w:pPr>
            <w:r>
              <w:rPr>
                <w:rFonts w:hint="eastAsia"/>
                <w:b/>
                <w:bCs/>
                <w:sz w:val="20"/>
                <w:szCs w:val="22"/>
                <w:lang w:val="en-US" w:eastAsia="zh-CN"/>
              </w:rPr>
              <w:t xml:space="preserve">          </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szCs w:val="22"/>
              </w:rPr>
            </w:pPr>
          </w:p>
        </w:tc>
        <w:tc>
          <w:tcPr>
            <w:tcW w:w="4735"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sz w:val="20"/>
                <w:szCs w:val="22"/>
                <w:lang w:val="en-US" w:eastAsia="zh-CN"/>
              </w:rPr>
            </w:pPr>
            <w:r>
              <w:rPr>
                <w:rFonts w:hint="eastAsia"/>
                <w:b/>
                <w:bCs/>
                <w:sz w:val="20"/>
                <w:szCs w:val="22"/>
                <w:lang w:val="en-US" w:eastAsia="zh-CN"/>
              </w:rPr>
              <w:t>节能量（吨标准煤）：无下达要求</w:t>
            </w:r>
          </w:p>
        </w:tc>
        <w:tc>
          <w:tcPr>
            <w:tcW w:w="2835" w:type="dxa"/>
            <w:vMerge w:val="continue"/>
          </w:tcPr>
          <w:p>
            <w:pPr>
              <w:pStyle w:val="3"/>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sz w:val="20"/>
                <w:szCs w:val="22"/>
              </w:rPr>
            </w:pPr>
            <w:r>
              <w:rPr>
                <w:rFonts w:hint="eastAsia"/>
                <w:sz w:val="20"/>
                <w:szCs w:val="22"/>
                <w:lang w:val="en-US" w:eastAsia="zh-CN"/>
              </w:rPr>
              <w:t>第一次监督</w:t>
            </w:r>
            <w:r>
              <w:rPr>
                <w:rFonts w:hint="eastAsia"/>
                <w:sz w:val="20"/>
                <w:szCs w:val="22"/>
              </w:rPr>
              <w:t>审核</w:t>
            </w:r>
          </w:p>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sz w:val="20"/>
                <w:szCs w:val="22"/>
              </w:rPr>
            </w:pPr>
            <w:r>
              <w:rPr>
                <w:rFonts w:hint="eastAsia"/>
                <w:b/>
                <w:bCs/>
                <w:sz w:val="20"/>
                <w:szCs w:val="22"/>
              </w:rPr>
              <w:t>能耗统计期：</w:t>
            </w:r>
          </w:p>
          <w:p>
            <w:pPr>
              <w:pStyle w:val="3"/>
              <w:keepNext w:val="0"/>
              <w:keepLines w:val="0"/>
              <w:pageBreakBefore w:val="0"/>
              <w:widowControl w:val="0"/>
              <w:kinsoku/>
              <w:wordWrap/>
              <w:overflowPunct/>
              <w:topLinePunct w:val="0"/>
              <w:autoSpaceDE/>
              <w:autoSpaceDN/>
              <w:bidi w:val="0"/>
              <w:adjustRightInd/>
              <w:spacing w:after="0" w:line="240" w:lineRule="auto"/>
              <w:ind w:firstLine="0" w:firstLineChars="0"/>
              <w:textAlignment w:val="auto"/>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szCs w:val="22"/>
              </w:rPr>
            </w:pPr>
          </w:p>
        </w:tc>
        <w:tc>
          <w:tcPr>
            <w:tcW w:w="4735" w:type="dxa"/>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b/>
                <w:bCs/>
                <w:sz w:val="20"/>
                <w:lang w:val="en-US" w:eastAsia="zh-CN"/>
              </w:rPr>
            </w:pPr>
            <w:r>
              <w:rPr>
                <w:rFonts w:hint="eastAsia"/>
                <w:b/>
                <w:bCs/>
                <w:sz w:val="20"/>
                <w:lang w:val="en-US" w:eastAsia="zh-CN"/>
              </w:rPr>
              <w:t>产量：</w:t>
            </w:r>
          </w:p>
          <w:p>
            <w:pPr>
              <w:pStyle w:val="3"/>
              <w:keepNext w:val="0"/>
              <w:keepLines w:val="0"/>
              <w:pageBreakBefore w:val="0"/>
              <w:widowControl w:val="0"/>
              <w:kinsoku/>
              <w:wordWrap/>
              <w:overflowPunct/>
              <w:topLinePunct w:val="0"/>
              <w:autoSpaceDE/>
              <w:autoSpaceDN/>
              <w:bidi w:val="0"/>
              <w:adjustRightInd/>
              <w:spacing w:after="0" w:line="240" w:lineRule="auto"/>
              <w:ind w:firstLine="0" w:firstLineChars="0"/>
              <w:textAlignment w:val="auto"/>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036"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szCs w:val="22"/>
              </w:rPr>
            </w:pPr>
          </w:p>
        </w:tc>
        <w:tc>
          <w:tcPr>
            <w:tcW w:w="4735" w:type="dxa"/>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ascii="宋体" w:hAnsi="宋体" w:eastAsia="宋体" w:cs="Times New Roman"/>
                <w:b/>
                <w:color w:val="000000" w:themeColor="text1"/>
                <w:kern w:val="2"/>
                <w:sz w:val="32"/>
                <w:szCs w:val="24"/>
                <w:lang w:val="en-US" w:eastAsia="zh-CN" w:bidi="ar-SA"/>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tc>
        <w:tc>
          <w:tcPr>
            <w:tcW w:w="2835"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szCs w:val="22"/>
              </w:rPr>
            </w:pPr>
          </w:p>
        </w:tc>
        <w:tc>
          <w:tcPr>
            <w:tcW w:w="4735"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ascii="宋体" w:hAnsi="宋体" w:eastAsia="宋体" w:cs="Times New Roman"/>
                <w:b/>
                <w:color w:val="000000" w:themeColor="text1"/>
                <w:kern w:val="2"/>
                <w:sz w:val="24"/>
                <w:szCs w:val="24"/>
                <w:lang w:val="en-US" w:eastAsia="zh-CN" w:bidi="ar-SA"/>
              </w:rPr>
            </w:pPr>
            <w:r>
              <w:rPr>
                <w:rFonts w:hint="eastAsia"/>
                <w:b/>
                <w:bCs/>
                <w:sz w:val="20"/>
                <w:szCs w:val="22"/>
                <w:lang w:val="en-US" w:eastAsia="zh-CN"/>
              </w:rPr>
              <w:t>单位能耗：</w:t>
            </w:r>
          </w:p>
        </w:tc>
        <w:tc>
          <w:tcPr>
            <w:tcW w:w="2835"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szCs w:val="22"/>
              </w:rPr>
            </w:pPr>
          </w:p>
        </w:tc>
        <w:tc>
          <w:tcPr>
            <w:tcW w:w="4735"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sz w:val="20"/>
                <w:szCs w:val="22"/>
                <w:lang w:val="en-US" w:eastAsia="zh-CN"/>
              </w:rPr>
            </w:pPr>
            <w:r>
              <w:rPr>
                <w:rFonts w:hint="eastAsia"/>
                <w:b/>
                <w:bCs/>
                <w:sz w:val="20"/>
                <w:szCs w:val="22"/>
                <w:lang w:val="en-US" w:eastAsia="zh-CN"/>
              </w:rPr>
              <w:t>节能量（吨标准煤）：</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0"/>
                <w:szCs w:val="22"/>
                <w:lang w:val="en-US" w:eastAsia="zh-CN" w:bidi="ar-SA"/>
              </w:rPr>
            </w:pPr>
          </w:p>
        </w:tc>
        <w:tc>
          <w:tcPr>
            <w:tcW w:w="2835"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sz w:val="20"/>
                <w:szCs w:val="22"/>
              </w:rPr>
            </w:pPr>
            <w:r>
              <w:rPr>
                <w:rFonts w:hint="eastAsia"/>
                <w:sz w:val="20"/>
                <w:szCs w:val="22"/>
                <w:lang w:val="en-US" w:eastAsia="zh-CN"/>
              </w:rPr>
              <w:t>第二次监督</w:t>
            </w:r>
            <w:r>
              <w:rPr>
                <w:rFonts w:hint="eastAsia"/>
                <w:sz w:val="20"/>
                <w:szCs w:val="22"/>
              </w:rPr>
              <w:t>审核</w:t>
            </w:r>
          </w:p>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sz w:val="20"/>
                <w:szCs w:val="22"/>
              </w:rPr>
            </w:pPr>
            <w:r>
              <w:rPr>
                <w:rFonts w:hint="eastAsia"/>
                <w:b/>
                <w:bCs/>
                <w:sz w:val="20"/>
                <w:szCs w:val="22"/>
              </w:rPr>
              <w:t>能耗统计期：</w:t>
            </w:r>
          </w:p>
          <w:p>
            <w:pPr>
              <w:pStyle w:val="3"/>
              <w:keepNext w:val="0"/>
              <w:keepLines w:val="0"/>
              <w:pageBreakBefore w:val="0"/>
              <w:widowControl w:val="0"/>
              <w:kinsoku/>
              <w:wordWrap/>
              <w:overflowPunct/>
              <w:topLinePunct w:val="0"/>
              <w:autoSpaceDE/>
              <w:autoSpaceDN/>
              <w:bidi w:val="0"/>
              <w:adjustRightInd/>
              <w:spacing w:after="0" w:line="240" w:lineRule="auto"/>
              <w:ind w:firstLine="0" w:firstLineChars="0"/>
              <w:textAlignment w:val="auto"/>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36"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szCs w:val="22"/>
              </w:rPr>
            </w:pPr>
          </w:p>
        </w:tc>
        <w:tc>
          <w:tcPr>
            <w:tcW w:w="4735" w:type="dxa"/>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b/>
                <w:bCs/>
                <w:sz w:val="20"/>
                <w:lang w:val="en-US" w:eastAsia="zh-CN"/>
              </w:rPr>
            </w:pPr>
            <w:r>
              <w:rPr>
                <w:rFonts w:hint="eastAsia"/>
                <w:b/>
                <w:bCs/>
                <w:sz w:val="20"/>
                <w:lang w:val="en-US" w:eastAsia="zh-CN"/>
              </w:rPr>
              <w:t>产量：</w:t>
            </w:r>
          </w:p>
          <w:p>
            <w:pPr>
              <w:pStyle w:val="3"/>
              <w:keepNext w:val="0"/>
              <w:keepLines w:val="0"/>
              <w:pageBreakBefore w:val="0"/>
              <w:widowControl w:val="0"/>
              <w:kinsoku/>
              <w:wordWrap/>
              <w:overflowPunct/>
              <w:topLinePunct w:val="0"/>
              <w:autoSpaceDE/>
              <w:autoSpaceDN/>
              <w:bidi w:val="0"/>
              <w:adjustRightInd/>
              <w:spacing w:after="0" w:line="240" w:lineRule="auto"/>
              <w:ind w:firstLine="0" w:firstLineChars="0"/>
              <w:textAlignment w:val="auto"/>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36"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szCs w:val="22"/>
              </w:rPr>
            </w:pPr>
          </w:p>
        </w:tc>
        <w:tc>
          <w:tcPr>
            <w:tcW w:w="4735" w:type="dxa"/>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ascii="宋体" w:hAnsi="宋体" w:eastAsia="宋体" w:cs="Times New Roman"/>
                <w:b/>
                <w:color w:val="000000" w:themeColor="text1"/>
                <w:kern w:val="2"/>
                <w:sz w:val="32"/>
                <w:szCs w:val="24"/>
                <w:lang w:val="en-US" w:eastAsia="zh-CN" w:bidi="ar-SA"/>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tc>
        <w:tc>
          <w:tcPr>
            <w:tcW w:w="2835"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6"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szCs w:val="22"/>
              </w:rPr>
            </w:pPr>
          </w:p>
        </w:tc>
        <w:tc>
          <w:tcPr>
            <w:tcW w:w="4735"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b/>
                <w:bCs/>
                <w:sz w:val="20"/>
                <w:szCs w:val="22"/>
                <w:lang w:val="en-US" w:eastAsia="zh-CN"/>
              </w:rPr>
            </w:pPr>
            <w:r>
              <w:rPr>
                <w:rFonts w:hint="eastAsia"/>
                <w:b/>
                <w:bCs/>
                <w:sz w:val="20"/>
                <w:szCs w:val="22"/>
                <w:lang w:val="en-US" w:eastAsia="zh-CN"/>
              </w:rPr>
              <w:t>单位能耗：</w:t>
            </w:r>
          </w:p>
          <w:p>
            <w:pPr>
              <w:keepNext w:val="0"/>
              <w:keepLines w:val="0"/>
              <w:pageBreakBefore w:val="0"/>
              <w:widowControl w:val="0"/>
              <w:kinsoku/>
              <w:wordWrap/>
              <w:overflowPunct/>
              <w:topLinePunct w:val="0"/>
              <w:autoSpaceDE/>
              <w:autoSpaceDN/>
              <w:bidi w:val="0"/>
              <w:adjustRightInd/>
              <w:spacing w:after="0" w:line="240" w:lineRule="auto"/>
              <w:textAlignment w:val="auto"/>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36"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szCs w:val="22"/>
              </w:rPr>
            </w:pPr>
          </w:p>
        </w:tc>
        <w:tc>
          <w:tcPr>
            <w:tcW w:w="4735" w:type="dxa"/>
          </w:tcPr>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Times New Roman" w:hAnsi="Times New Roman" w:eastAsia="宋体" w:cs="Times New Roman"/>
                <w:kern w:val="2"/>
                <w:sz w:val="20"/>
                <w:szCs w:val="22"/>
                <w:lang w:val="en-US" w:eastAsia="zh-CN" w:bidi="ar-SA"/>
              </w:rPr>
            </w:pPr>
            <w:r>
              <w:rPr>
                <w:rFonts w:hint="eastAsia"/>
                <w:b/>
                <w:bCs/>
                <w:sz w:val="20"/>
                <w:szCs w:val="22"/>
                <w:lang w:val="en-US" w:eastAsia="zh-CN"/>
              </w:rPr>
              <w:t>节能量（吨标准煤）：</w:t>
            </w:r>
          </w:p>
        </w:tc>
        <w:tc>
          <w:tcPr>
            <w:tcW w:w="2835" w:type="dxa"/>
            <w:vMerge w:val="continue"/>
          </w:tcPr>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sz w:val="20"/>
              </w:rPr>
            </w:pPr>
          </w:p>
        </w:tc>
      </w:tr>
    </w:tbl>
    <w:p>
      <w:pPr>
        <w:pStyle w:val="3"/>
        <w:keepNext w:val="0"/>
        <w:keepLines w:val="0"/>
        <w:pageBreakBefore w:val="0"/>
        <w:widowControl w:val="0"/>
        <w:kinsoku/>
        <w:wordWrap/>
        <w:overflowPunct/>
        <w:topLinePunct w:val="0"/>
        <w:autoSpaceDE/>
        <w:autoSpaceDN/>
        <w:bidi w:val="0"/>
        <w:adjustRightInd/>
        <w:spacing w:after="0" w:line="240" w:lineRule="auto"/>
        <w:ind w:firstLine="0"/>
        <w:textAlignment w:val="auto"/>
        <w:rPr>
          <w:rFonts w:hint="eastAsia"/>
          <w:b/>
          <w:color w:val="000000" w:themeColor="text1"/>
          <w:sz w:val="18"/>
          <w:szCs w:val="18"/>
          <w:lang w:val="en-GB" w:eastAsia="zh-CN"/>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89.15pt;margin-top:10.7pt;height:20.2pt;width:87.9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7F03D1"/>
    <w:rsid w:val="37C172A6"/>
    <w:rsid w:val="5DAD11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丽英</cp:lastModifiedBy>
  <cp:lastPrinted>2019-05-13T03:13:00Z</cp:lastPrinted>
  <dcterms:modified xsi:type="dcterms:W3CDTF">2021-11-12T02:29:50Z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2052-11.1.0.10314</vt:lpwstr>
  </property>
</Properties>
</file>