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1171-2021-EnMs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河北孚领商品混凝土有限公司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河北孚领商品混凝土有限公司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保定市徐水区遂城镇遂城村</w:t>
            </w:r>
            <w:bookmarkEnd w:id="6"/>
          </w:p>
        </w:tc>
        <w:tc>
          <w:tcPr>
            <w:tcW w:w="1242" w:type="dxa"/>
            <w:vMerge w:val="restart"/>
            <w:vAlign w:val="center"/>
          </w:tcPr>
          <w:p>
            <w:r>
              <w:rPr>
                <w:rFonts w:hint="eastAsia"/>
              </w:rPr>
              <w:t>邮编</w:t>
            </w:r>
          </w:p>
        </w:tc>
        <w:tc>
          <w:tcPr>
            <w:tcW w:w="1771" w:type="dxa"/>
          </w:tcPr>
          <w:p>
            <w:bookmarkStart w:id="7" w:name="注册邮编"/>
            <w:r>
              <w:t>072550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保定市徐水区遂城镇遂城村</w:t>
            </w:r>
            <w:bookmarkEnd w:id="8"/>
          </w:p>
        </w:tc>
        <w:tc>
          <w:tcPr>
            <w:tcW w:w="1242" w:type="dxa"/>
            <w:vMerge w:val="continue"/>
            <w:vAlign w:val="center"/>
          </w:tcPr>
          <w:p/>
        </w:tc>
        <w:tc>
          <w:tcPr>
            <w:tcW w:w="1771" w:type="dxa"/>
          </w:tcPr>
          <w:p>
            <w:bookmarkStart w:id="9" w:name="办公邮编"/>
            <w:r>
              <w:t>072550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丁维</w:t>
            </w:r>
            <w:bookmarkEnd w:id="10"/>
          </w:p>
        </w:tc>
        <w:tc>
          <w:tcPr>
            <w:tcW w:w="1313" w:type="dxa"/>
            <w:vAlign w:val="center"/>
          </w:tcPr>
          <w:p>
            <w:r>
              <w:rPr>
                <w:rFonts w:hint="eastAsia"/>
              </w:rPr>
              <w:t>电话.</w:t>
            </w:r>
          </w:p>
        </w:tc>
        <w:tc>
          <w:tcPr>
            <w:tcW w:w="2180" w:type="dxa"/>
            <w:vAlign w:val="center"/>
          </w:tcPr>
          <w:p>
            <w:bookmarkStart w:id="11" w:name="联系人电话"/>
            <w:r>
              <w:t>13691412300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王健</w:t>
            </w:r>
            <w:bookmarkEnd w:id="13"/>
          </w:p>
        </w:tc>
        <w:tc>
          <w:tcPr>
            <w:tcW w:w="1313" w:type="dxa"/>
            <w:vAlign w:val="center"/>
          </w:tcPr>
          <w:p>
            <w:r>
              <w:rPr>
                <w:rFonts w:hint="eastAsia"/>
              </w:rPr>
              <w:t>管理者代表</w:t>
            </w:r>
          </w:p>
        </w:tc>
        <w:tc>
          <w:tcPr>
            <w:tcW w:w="2180" w:type="dxa"/>
          </w:tcPr>
          <w:p>
            <w:bookmarkStart w:id="14" w:name="管理者代表"/>
            <w:r>
              <w:t>丁维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 xml:space="preserve">受审核组织的班次：□单班 </w:t>
            </w:r>
            <w:r>
              <w:rPr>
                <w:rFonts w:hint="eastAsia"/>
              </w:rPr>
              <w:sym w:font="Wingdings 2" w:char="0052"/>
            </w:r>
            <w:r>
              <w:rPr>
                <w:rFonts w:hint="eastAsia"/>
              </w:rPr>
              <w:t>双班 □三班  □其他</w:t>
            </w:r>
          </w:p>
          <w:p>
            <w:pPr>
              <w:rPr>
                <w:rFonts w:hint="eastAsia" w:eastAsia="宋体"/>
                <w:lang w:eastAsia="zh-CN"/>
              </w:rPr>
            </w:pPr>
            <w:r>
              <w:rPr>
                <w:rFonts w:hint="eastAsia"/>
                <w:color w:val="auto"/>
                <w:highlight w:val="none"/>
                <w:shd w:val="clear"/>
                <w:lang w:val="en-US" w:eastAsia="zh-CN"/>
              </w:rPr>
              <w:t>该企业两班操作，操作时间为8：-20:00；20:00-8:00，审核计划对两班操作在审核计划时考虑连续运行的实际情况，生产工况好基本没有变化，因此在审核夜班的操作时通过交接班记录和能耗统计数据来审核和分析</w:t>
            </w:r>
            <w:r>
              <w:rPr>
                <w:rFonts w:hint="eastAsia"/>
                <w:color w:val="auto"/>
                <w:highlight w:val="none"/>
                <w:shd w:val="clear"/>
                <w:lang w:eastAsia="zh-CN"/>
              </w:rPr>
              <w:t>，</w:t>
            </w:r>
            <w:r>
              <w:rPr>
                <w:rFonts w:hint="eastAsia"/>
                <w:color w:val="auto"/>
                <w:highlight w:val="none"/>
                <w:shd w:val="clear"/>
              </w:rPr>
              <w:t>审核相应地考虑了多班次操作</w:t>
            </w:r>
            <w:r>
              <w:rPr>
                <w:rFonts w:hint="eastAsia"/>
                <w:color w:val="auto"/>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lang w:val="en-US" w:eastAsia="zh-CN"/>
              </w:rPr>
              <w:t>原材料准备--配合比输入--开盘检定--持续生产--出站检验--发货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bookmarkStart w:id="15" w:name="审核日期"/>
            <w:r>
              <w:rPr>
                <w:rFonts w:hint="eastAsia"/>
              </w:rPr>
              <w:t>2021年11月11日 下午至2021年11月12日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 xml:space="preserve">ISO50001：2018标准  </w:t>
            </w:r>
          </w:p>
          <w:p>
            <w:r>
              <w:rPr>
                <w:rFonts w:hint="eastAsia"/>
                <w:lang w:val="de-DE"/>
              </w:rPr>
              <w:sym w:font="Wingdings 2" w:char="0052"/>
            </w:r>
            <w:r>
              <w:rPr>
                <w:rFonts w:hint="eastAsia"/>
                <w:lang w:val="de-DE"/>
              </w:rPr>
              <w:t xml:space="preserve">RB/T </w:t>
            </w:r>
            <w:r>
              <w:rPr>
                <w:rFonts w:hint="eastAsia" w:ascii="Times New Roman" w:hAnsi="Times New Roman" w:eastAsia="宋体" w:cs="Times New Roman"/>
                <w:lang w:val="de-DE"/>
              </w:rPr>
              <w:t>121-2016 能源管理体系 建材企业(不含水泥、玻璃、陶瓷)企业认证要求</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hAnsi="Times New Roman" w:eastAsia="宋体" w:cs="Times New Roman"/>
                <w:b/>
                <w:color w:val="0000FF"/>
                <w:szCs w:val="21"/>
                <w:lang w:val="en-US" w:eastAsia="zh-CN"/>
              </w:rPr>
            </w:pPr>
            <w:r>
              <w:rPr>
                <w:rFonts w:hint="eastAsia" w:ascii="宋体" w:hAnsi="Times New Roman" w:eastAsia="宋体" w:cs="Times New Roman"/>
                <w:b/>
                <w:color w:val="0000FF"/>
                <w:szCs w:val="21"/>
                <w:lang w:val="en-US" w:eastAsia="zh-CN"/>
              </w:rPr>
              <w:t>河北省石家庄市高新区昆仑大街399号（李丽英）</w:t>
            </w:r>
          </w:p>
          <w:p>
            <w:pPr>
              <w:rPr>
                <w:rFonts w:hint="default"/>
                <w:lang w:val="en-US" w:eastAsia="zh-CN"/>
              </w:rPr>
            </w:pPr>
            <w:r>
              <w:rPr>
                <w:rFonts w:hint="default" w:ascii="宋体" w:hAnsi="Times New Roman" w:eastAsia="宋体" w:cs="Times New Roman"/>
                <w:b/>
                <w:color w:val="0000FF"/>
                <w:szCs w:val="21"/>
                <w:lang w:val="en-US" w:eastAsia="zh-CN"/>
              </w:rPr>
              <w:t>河北省保定市徐水区城建小区</w:t>
            </w:r>
            <w:r>
              <w:rPr>
                <w:rFonts w:hint="eastAsia" w:ascii="宋体" w:hAnsi="Times New Roman" w:eastAsia="宋体" w:cs="Times New Roman"/>
                <w:b/>
                <w:color w:val="0000FF"/>
                <w:szCs w:val="21"/>
                <w:lang w:val="en-US" w:eastAsia="zh-CN"/>
              </w:rPr>
              <w:t xml:space="preserve"> （孔祥春）</w:t>
            </w:r>
            <w:r>
              <w:rPr>
                <w:rFonts w:hint="eastAsia" w:ascii="宋体" w:hAnsi="Times New Roman" w:eastAsia="宋体" w:cs="Times New Roman"/>
                <w:b/>
                <w:color w:val="0000FF"/>
                <w:szCs w:val="21"/>
                <w:highlight w:val="none"/>
                <w:lang w:val="en-US" w:eastAsia="zh-CN"/>
              </w:rPr>
              <w:t xml:space="preserve"> 深圳市罗湖区银湖蓝山公寓</w:t>
            </w:r>
            <w:r>
              <w:rPr>
                <w:rFonts w:hint="eastAsia" w:ascii="宋体" w:hAnsi="Times New Roman" w:eastAsia="宋体" w:cs="Times New Roman"/>
                <w:b/>
                <w:color w:val="0000FF"/>
                <w:szCs w:val="21"/>
                <w:lang w:val="en-US" w:eastAsia="zh-CN"/>
              </w:rPr>
              <w:t>（王宁敏）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 xml:space="preserve">视频 </w:t>
            </w:r>
            <w:r>
              <w:rPr>
                <w:rFonts w:hint="eastAsia" w:ascii="宋体"/>
                <w:b/>
                <w:color w:val="0000FF"/>
                <w:szCs w:val="21"/>
              </w:rPr>
              <w:sym w:font="Wingdings 2" w:char="0052"/>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□手持设备 </w:t>
            </w:r>
            <w:r>
              <w:rPr>
                <w:rFonts w:hint="eastAsia" w:ascii="宋体"/>
                <w:b/>
                <w:color w:val="0000FF"/>
                <w:szCs w:val="21"/>
              </w:rPr>
              <w:sym w:font="Wingdings 2" w:char="0052"/>
            </w:r>
            <w:r>
              <w:rPr>
                <w:rFonts w:hint="eastAsia" w:ascii="宋体"/>
                <w:b/>
                <w:color w:val="0000FF"/>
                <w:szCs w:val="21"/>
              </w:rPr>
              <w:t xml:space="preserve">笔记本电脑 </w:t>
            </w:r>
            <w:r>
              <w:rPr>
                <w:rFonts w:hint="eastAsia" w:ascii="宋体"/>
                <w:b/>
                <w:color w:val="0000FF"/>
                <w:szCs w:val="21"/>
              </w:rPr>
              <w:sym w:font="Wingdings 2" w:char="0052"/>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4616" w:type="dxa"/>
            <w:gridSpan w:val="2"/>
            <w:vMerge w:val="restart"/>
            <w:vAlign w:val="center"/>
          </w:tcPr>
          <w:p>
            <w:bookmarkStart w:id="29" w:name="审核范围"/>
            <w:r>
              <w:t>商品混凝土的生产和服务过程所涉及的能源管理活动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4</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26"/>
        <w:gridCol w:w="1940"/>
        <w:gridCol w:w="620"/>
        <w:gridCol w:w="2740"/>
        <w:gridCol w:w="14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26" w:type="dxa"/>
            <w:shd w:val="clear" w:color="auto" w:fill="F3F3F3"/>
            <w:tcMar>
              <w:left w:w="57" w:type="dxa"/>
              <w:right w:w="57" w:type="dxa"/>
            </w:tcMar>
          </w:tcPr>
          <w:p>
            <w:r>
              <w:rPr>
                <w:rFonts w:hint="eastAsia"/>
              </w:rPr>
              <w:t>组织名称及注册场所地址</w:t>
            </w:r>
          </w:p>
        </w:tc>
        <w:tc>
          <w:tcPr>
            <w:tcW w:w="1940" w:type="dxa"/>
            <w:shd w:val="clear" w:color="auto" w:fill="F3F3F3"/>
          </w:tcPr>
          <w:p>
            <w:r>
              <w:rPr>
                <w:rFonts w:hint="eastAsia"/>
              </w:rPr>
              <w:t>经营场所的地址</w:t>
            </w:r>
          </w:p>
          <w:p>
            <w:r>
              <w:rPr>
                <w:rFonts w:hint="eastAsia"/>
              </w:rPr>
              <w:t>（多现场和临时现场）</w:t>
            </w:r>
          </w:p>
        </w:tc>
        <w:tc>
          <w:tcPr>
            <w:tcW w:w="620" w:type="dxa"/>
            <w:shd w:val="clear" w:color="auto" w:fill="F3F3F3"/>
            <w:tcMar>
              <w:left w:w="57" w:type="dxa"/>
              <w:right w:w="57" w:type="dxa"/>
            </w:tcMar>
          </w:tcPr>
          <w:p>
            <w:r>
              <w:rPr>
                <w:rFonts w:hint="eastAsia"/>
              </w:rPr>
              <w:t>员工人数</w:t>
            </w:r>
          </w:p>
        </w:tc>
        <w:tc>
          <w:tcPr>
            <w:tcW w:w="274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26" w:type="dxa"/>
          </w:tcPr>
          <w:p>
            <w:pPr>
              <w:rPr>
                <w:lang w:val="de-DE" w:eastAsia="ja-JP"/>
              </w:rPr>
            </w:pPr>
            <w:r>
              <w:rPr>
                <w:rFonts w:asciiTheme="minorEastAsia" w:hAnsiTheme="minorEastAsia" w:eastAsiaTheme="minorEastAsia"/>
                <w:sz w:val="20"/>
              </w:rPr>
              <w:t>保定市徐水区遂城镇遂城村</w:t>
            </w:r>
          </w:p>
        </w:tc>
        <w:tc>
          <w:tcPr>
            <w:tcW w:w="1940" w:type="dxa"/>
          </w:tcPr>
          <w:p>
            <w:pPr>
              <w:rPr>
                <w:lang w:val="de-DE" w:eastAsia="ja-JP"/>
              </w:rPr>
            </w:pPr>
            <w:r>
              <w:rPr>
                <w:rFonts w:asciiTheme="minorEastAsia" w:hAnsiTheme="minorEastAsia" w:eastAsiaTheme="minorEastAsia"/>
                <w:sz w:val="20"/>
              </w:rPr>
              <w:t>保定市徐水区遂城镇遂城村</w:t>
            </w:r>
          </w:p>
        </w:tc>
        <w:tc>
          <w:tcPr>
            <w:tcW w:w="620" w:type="dxa"/>
            <w:vAlign w:val="center"/>
          </w:tcPr>
          <w:p>
            <w:pPr>
              <w:rPr>
                <w:rFonts w:hint="default" w:eastAsia="宋体"/>
                <w:lang w:val="en-US" w:eastAsia="zh-CN"/>
              </w:rPr>
            </w:pPr>
            <w:r>
              <w:rPr>
                <w:rFonts w:hint="eastAsia"/>
                <w:lang w:val="en-US" w:eastAsia="zh-CN"/>
              </w:rPr>
              <w:t>80</w:t>
            </w:r>
          </w:p>
        </w:tc>
        <w:tc>
          <w:tcPr>
            <w:tcW w:w="2740" w:type="dxa"/>
            <w:vAlign w:val="center"/>
          </w:tcPr>
          <w:p>
            <w:pPr>
              <w:rPr>
                <w:lang w:eastAsia="ja-JP"/>
              </w:rPr>
            </w:pPr>
            <w:r>
              <w:rPr>
                <w:sz w:val="20"/>
              </w:rPr>
              <w:t>商品混凝土的生产和服务过程所涉及的能源管理活动</w:t>
            </w:r>
          </w:p>
        </w:tc>
        <w:tc>
          <w:tcPr>
            <w:tcW w:w="1451" w:type="dxa"/>
            <w:vAlign w:val="center"/>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GB/T23331-2020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26" w:type="dxa"/>
            <w:vAlign w:val="center"/>
          </w:tcPr>
          <w:p>
            <w:pPr>
              <w:rPr>
                <w:lang w:eastAsia="ja-JP"/>
              </w:rPr>
            </w:pPr>
          </w:p>
        </w:tc>
        <w:tc>
          <w:tcPr>
            <w:tcW w:w="1940" w:type="dxa"/>
            <w:vAlign w:val="center"/>
          </w:tcPr>
          <w:p>
            <w:pPr>
              <w:rPr>
                <w:lang w:eastAsia="ja-JP"/>
              </w:rPr>
            </w:pPr>
          </w:p>
        </w:tc>
        <w:tc>
          <w:tcPr>
            <w:tcW w:w="620" w:type="dxa"/>
            <w:vAlign w:val="center"/>
          </w:tcPr>
          <w:p>
            <w:pPr>
              <w:rPr>
                <w:lang w:eastAsia="ja-JP"/>
              </w:rPr>
            </w:pPr>
          </w:p>
        </w:tc>
        <w:tc>
          <w:tcPr>
            <w:tcW w:w="2740" w:type="dxa"/>
            <w:vAlign w:val="center"/>
          </w:tcPr>
          <w:p>
            <w:pPr>
              <w:rPr>
                <w:lang w:eastAsia="ja-JP"/>
              </w:rPr>
            </w:pPr>
          </w:p>
        </w:tc>
        <w:tc>
          <w:tcPr>
            <w:tcW w:w="14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26" w:type="dxa"/>
            <w:vAlign w:val="center"/>
          </w:tcPr>
          <w:p>
            <w:pPr>
              <w:rPr>
                <w:lang w:eastAsia="ja-JP"/>
              </w:rPr>
            </w:pPr>
          </w:p>
        </w:tc>
        <w:tc>
          <w:tcPr>
            <w:tcW w:w="1940" w:type="dxa"/>
            <w:vAlign w:val="center"/>
          </w:tcPr>
          <w:p>
            <w:pPr>
              <w:rPr>
                <w:lang w:eastAsia="ja-JP"/>
              </w:rPr>
            </w:pPr>
          </w:p>
        </w:tc>
        <w:tc>
          <w:tcPr>
            <w:tcW w:w="620" w:type="dxa"/>
            <w:vAlign w:val="center"/>
          </w:tcPr>
          <w:p>
            <w:pPr>
              <w:rPr>
                <w:lang w:eastAsia="ja-JP"/>
              </w:rPr>
            </w:pPr>
          </w:p>
        </w:tc>
        <w:tc>
          <w:tcPr>
            <w:tcW w:w="2740" w:type="dxa"/>
            <w:vAlign w:val="center"/>
          </w:tcPr>
          <w:p>
            <w:pPr>
              <w:rPr>
                <w:lang w:eastAsia="ja-JP"/>
              </w:rPr>
            </w:pPr>
          </w:p>
        </w:tc>
        <w:tc>
          <w:tcPr>
            <w:tcW w:w="14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26" w:type="dxa"/>
            <w:vAlign w:val="center"/>
          </w:tcPr>
          <w:p>
            <w:pPr>
              <w:rPr>
                <w:lang w:eastAsia="ja-JP"/>
              </w:rPr>
            </w:pPr>
          </w:p>
        </w:tc>
        <w:tc>
          <w:tcPr>
            <w:tcW w:w="1940" w:type="dxa"/>
            <w:vAlign w:val="center"/>
          </w:tcPr>
          <w:p>
            <w:pPr>
              <w:rPr>
                <w:lang w:eastAsia="ja-JP"/>
              </w:rPr>
            </w:pPr>
          </w:p>
        </w:tc>
        <w:tc>
          <w:tcPr>
            <w:tcW w:w="620" w:type="dxa"/>
            <w:vAlign w:val="center"/>
          </w:tcPr>
          <w:p>
            <w:pPr>
              <w:rPr>
                <w:lang w:eastAsia="ja-JP"/>
              </w:rPr>
            </w:pPr>
          </w:p>
        </w:tc>
        <w:tc>
          <w:tcPr>
            <w:tcW w:w="2740" w:type="dxa"/>
            <w:vAlign w:val="center"/>
          </w:tcPr>
          <w:p>
            <w:pPr>
              <w:rPr>
                <w:lang w:eastAsia="ja-JP"/>
              </w:rPr>
            </w:pPr>
          </w:p>
        </w:tc>
        <w:tc>
          <w:tcPr>
            <w:tcW w:w="14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26" w:type="dxa"/>
            <w:vAlign w:val="center"/>
          </w:tcPr>
          <w:p>
            <w:pPr>
              <w:rPr>
                <w:lang w:eastAsia="ja-JP"/>
              </w:rPr>
            </w:pPr>
          </w:p>
        </w:tc>
        <w:tc>
          <w:tcPr>
            <w:tcW w:w="1940" w:type="dxa"/>
            <w:vAlign w:val="center"/>
          </w:tcPr>
          <w:p>
            <w:pPr>
              <w:rPr>
                <w:lang w:eastAsia="ja-JP"/>
              </w:rPr>
            </w:pPr>
          </w:p>
        </w:tc>
        <w:tc>
          <w:tcPr>
            <w:tcW w:w="620" w:type="dxa"/>
            <w:vAlign w:val="center"/>
          </w:tcPr>
          <w:p>
            <w:pPr>
              <w:rPr>
                <w:lang w:eastAsia="ja-JP"/>
              </w:rPr>
            </w:pPr>
          </w:p>
        </w:tc>
        <w:tc>
          <w:tcPr>
            <w:tcW w:w="2740" w:type="dxa"/>
            <w:vAlign w:val="center"/>
          </w:tcPr>
          <w:p>
            <w:pPr>
              <w:rPr>
                <w:lang w:eastAsia="ja-JP"/>
              </w:rPr>
            </w:pPr>
          </w:p>
        </w:tc>
        <w:tc>
          <w:tcPr>
            <w:tcW w:w="14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孔祥春</w:t>
            </w:r>
          </w:p>
        </w:tc>
        <w:tc>
          <w:tcPr>
            <w:tcW w:w="1089" w:type="dxa"/>
            <w:vAlign w:val="center"/>
          </w:tcPr>
          <w:p>
            <w:r>
              <w:t>组员</w:t>
            </w:r>
          </w:p>
        </w:tc>
        <w:tc>
          <w:tcPr>
            <w:tcW w:w="711" w:type="dxa"/>
            <w:vAlign w:val="center"/>
          </w:tcPr>
          <w:p>
            <w:r>
              <w:t>男</w:t>
            </w:r>
          </w:p>
        </w:tc>
        <w:tc>
          <w:tcPr>
            <w:tcW w:w="3870" w:type="dxa"/>
            <w:vAlign w:val="center"/>
          </w:tcPr>
          <w:p>
            <w:r>
              <w:t>ISC-JSZJ-412</w:t>
            </w:r>
          </w:p>
          <w:p>
            <w:r>
              <w:t>保定津森拓新型建材有限公司</w:t>
            </w:r>
          </w:p>
        </w:tc>
        <w:tc>
          <w:tcPr>
            <w:tcW w:w="2179" w:type="dxa"/>
            <w:vAlign w:val="center"/>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rPr>
        <w:sym w:font="Wingdings 2" w:char="0052"/>
      </w:r>
      <w:r>
        <w:rPr>
          <w:rFonts w:hint="eastAsia"/>
        </w:rPr>
        <w:t>EnMS □FSMS □HACCP的附件）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888365" cy="243840"/>
                  <wp:effectExtent l="0" t="0" r="635" b="1016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6" cstate="print"/>
                          <a:srcRect/>
                          <a:stretch>
                            <a:fillRect/>
                          </a:stretch>
                        </pic:blipFill>
                        <pic:spPr>
                          <a:xfrm>
                            <a:off x="0" y="0"/>
                            <a:ext cx="888365" cy="243840"/>
                          </a:xfrm>
                          <a:prstGeom prst="rect">
                            <a:avLst/>
                          </a:prstGeom>
                          <a:noFill/>
                          <a:ln w="9525">
                            <a:noFill/>
                            <a:miter lim="800000"/>
                            <a:headEnd/>
                            <a:tailEnd/>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t>□活动、产品和服务 □战略方向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□节约资源 </w:t>
            </w:r>
            <w:r>
              <w:rPr>
                <w:rFonts w:hint="eastAsia"/>
              </w:rPr>
              <w:sym w:font="Wingdings 2" w:char="0052"/>
            </w:r>
            <w:r>
              <w:rPr>
                <w:rFonts w:hint="eastAsia"/>
              </w:rPr>
              <w:t xml:space="preserve">满足限额要求 </w:t>
            </w:r>
            <w:r>
              <w:rPr>
                <w:rFonts w:hint="eastAsia"/>
              </w:rPr>
              <w:sym w:font="Wingdings 2" w:char="0052"/>
            </w:r>
            <w:r>
              <w:rPr>
                <w:rFonts w:hint="eastAsia"/>
              </w:rPr>
              <w:t xml:space="preserve">主要用能设备管理  </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rPr>
                <w:rFonts w:hint="default" w:eastAsia="宋体"/>
                <w:lang w:val="en-US" w:eastAsia="zh-CN"/>
              </w:rPr>
            </w:pPr>
            <w:r>
              <w:rPr>
                <w:rFonts w:hint="eastAsia"/>
              </w:rPr>
              <w:sym w:font="Wingdings 2" w:char="00A3"/>
            </w:r>
            <w:r>
              <w:rPr>
                <w:rFonts w:hint="eastAsia"/>
              </w:rPr>
              <w:t xml:space="preserve">生产/服务过程 </w:t>
            </w:r>
            <w:r>
              <w:rPr>
                <w:rFonts w:hint="eastAsia"/>
              </w:rPr>
              <w:sym w:font="Wingdings 2" w:char="00A3"/>
            </w:r>
            <w:r>
              <w:rPr>
                <w:rFonts w:hint="eastAsia"/>
              </w:rPr>
              <w:t xml:space="preserve">能效监测 </w:t>
            </w:r>
            <w:r>
              <w:rPr>
                <w:rFonts w:hint="eastAsia"/>
              </w:rPr>
              <w:sym w:font="Wingdings 2" w:char="00A3"/>
            </w:r>
            <w:r>
              <w:rPr>
                <w:rFonts w:hint="eastAsia"/>
              </w:rPr>
              <w:t xml:space="preserve">设备维修 </w:t>
            </w:r>
            <w:r>
              <w:rPr>
                <w:rFonts w:hint="eastAsia"/>
              </w:rPr>
              <w:sym w:font="Wingdings 2" w:char="00A3"/>
            </w: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产品运输</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color w:val="000000"/>
                <w:szCs w:val="18"/>
                <w:u w:val="single"/>
              </w:rPr>
              <w:t xml:space="preserve">顾客至上、优质高效 </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全员参与、持续改进</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 xml:space="preserve">预防污染、绿色排放 </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lang w:val="en-US" w:eastAsia="zh-CN"/>
              </w:rPr>
              <w:t>节约能源</w:t>
            </w:r>
            <w:r>
              <w:rPr>
                <w:rFonts w:hint="eastAsia" w:ascii="Times New Roman" w:hAnsi="Times New Roman" w:eastAsia="宋体" w:cs="Times New Roman"/>
                <w:color w:val="000000"/>
                <w:szCs w:val="18"/>
                <w:u w:val="single"/>
              </w:rPr>
              <w:t xml:space="preserve">、安全第一 </w:t>
            </w:r>
            <w:r>
              <w:rPr>
                <w:rFonts w:hint="eastAsia"/>
                <w:u w:val="single"/>
              </w:rPr>
              <w:t xml:space="preserve">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 xml:space="preserve">EnMS的主管部门是——□能源管理团队 </w:t>
            </w:r>
            <w:r>
              <w:rPr>
                <w:rFonts w:hint="eastAsia"/>
              </w:rPr>
              <w:sym w:font="Wingdings 2" w:char="0052"/>
            </w:r>
            <w:r>
              <w:rPr>
                <w:rFonts w:hint="eastAsia"/>
                <w:lang w:val="en-US" w:eastAsia="zh-CN"/>
              </w:rPr>
              <w:t>综合部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停电停水的风险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柴油供应短缺</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rPr>
              <w:sym w:font="Wingdings 2" w:char="00A3"/>
            </w:r>
            <w:r>
              <w:rPr>
                <w:rFonts w:hint="eastAsia"/>
              </w:rPr>
              <w:t xml:space="preserve">燃料油  □燃料气 </w:t>
            </w:r>
            <w:r>
              <w:rPr>
                <w:rFonts w:hint="eastAsia"/>
              </w:rPr>
              <w:sym w:font="Wingdings 2" w:char="0052"/>
            </w:r>
            <w:r>
              <w:rPr>
                <w:rFonts w:hint="eastAsia"/>
              </w:rPr>
              <w:t xml:space="preserve">电力  □氮气 </w:t>
            </w:r>
            <w:r>
              <w:rPr>
                <w:rFonts w:hint="eastAsia"/>
              </w:rPr>
              <w:sym w:font="Wingdings 2" w:char="0052"/>
            </w:r>
            <w:r>
              <w:rPr>
                <w:rFonts w:hint="eastAsia"/>
              </w:rPr>
              <w:t>风  □新鲜水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w:t>
            </w:r>
            <w:r>
              <w:rPr>
                <w:rFonts w:hint="eastAsia"/>
                <w:lang w:val="en-US" w:eastAsia="zh-CN"/>
              </w:rPr>
              <w:t>生产</w:t>
            </w:r>
            <w:r>
              <w:rPr>
                <w:rFonts w:hint="eastAsia"/>
              </w:rPr>
              <w:t xml:space="preserve">能耗 </w:t>
            </w:r>
            <w:r>
              <w:rPr>
                <w:rFonts w:hint="eastAsia"/>
              </w:rPr>
              <w:sym w:font="Wingdings 2" w:char="00A3"/>
            </w:r>
            <w:r>
              <w:rPr>
                <w:rFonts w:hint="eastAsia"/>
              </w:rPr>
              <w:t xml:space="preserve">能源消费总量 </w:t>
            </w:r>
            <w:r>
              <w:rPr>
                <w:rFonts w:hint="eastAsia"/>
              </w:rPr>
              <w:sym w:font="Wingdings 2" w:char="00A3"/>
            </w:r>
            <w:r>
              <w:rPr>
                <w:rFonts w:hint="eastAsia"/>
              </w:rPr>
              <w:t>单位产品</w:t>
            </w:r>
            <w:r>
              <w:rPr>
                <w:rFonts w:hint="eastAsia"/>
                <w:lang w:val="en-US" w:eastAsia="zh-CN"/>
              </w:rPr>
              <w:t>运输能耗</w:t>
            </w:r>
            <w:r>
              <w:rPr>
                <w:rFonts w:hint="eastAsia"/>
              </w:rPr>
              <w:t xml:space="preserve">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sym w:font="Wingdings 2" w:char="0052"/>
            </w:r>
            <w:r>
              <w:rPr>
                <w:rFonts w:hint="eastAsia"/>
              </w:rPr>
              <w:t xml:space="preserve">限额标准  </w:t>
            </w:r>
            <w:r>
              <w:rPr>
                <w:rFonts w:hint="eastAsia"/>
              </w:rPr>
              <w:sym w:font="Wingdings 2" w:char="0052"/>
            </w:r>
            <w:r>
              <w:rPr>
                <w:rFonts w:hint="eastAsia"/>
              </w:rPr>
              <w:t xml:space="preserve">能源计量管理  □使用节能设备  </w:t>
            </w:r>
            <w:r>
              <w:rPr>
                <w:rFonts w:hint="eastAsia"/>
              </w:rPr>
              <w:sym w:font="Wingdings 2" w:char="0052"/>
            </w:r>
            <w:r>
              <w:rPr>
                <w:rFonts w:hint="eastAsia"/>
              </w:rPr>
              <w:t xml:space="preserve">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生产能耗0.7kgce/m</w:t>
                  </w:r>
                  <w:r>
                    <w:rPr>
                      <w:rFonts w:hint="eastAsia"/>
                      <w:vertAlign w:val="superscript"/>
                      <w:lang w:val="en-US" w:eastAsia="zh-CN"/>
                    </w:rPr>
                    <w:t>3</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A3"/>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sym w:font="Wingdings 2" w:char="00A3"/>
            </w: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sym w:font="Wingdings 2" w:char="00A3"/>
            </w: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20997.9</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混凝土搅拌站</w:t>
            </w:r>
            <w:r>
              <w:rPr>
                <w:rFonts w:hint="eastAsia"/>
                <w:highlight w:val="none"/>
                <w:u w:val="single"/>
                <w:lang w:eastAsia="zh-CN"/>
              </w:rPr>
              <w:t>、</w:t>
            </w:r>
            <w:r>
              <w:rPr>
                <w:rFonts w:hint="eastAsia"/>
                <w:highlight w:val="none"/>
                <w:u w:val="single"/>
                <w:lang w:val="en-US" w:eastAsia="zh-CN"/>
              </w:rPr>
              <w:t>空压机</w:t>
            </w:r>
            <w:r>
              <w:rPr>
                <w:rFonts w:hint="eastAsia"/>
                <w:highlight w:val="none"/>
                <w:u w:val="single"/>
                <w:lang w:eastAsia="zh-CN"/>
              </w:rPr>
              <w:t>、</w:t>
            </w:r>
            <w:r>
              <w:rPr>
                <w:rFonts w:hint="eastAsia"/>
                <w:highlight w:val="none"/>
                <w:u w:val="single"/>
                <w:lang w:val="en-US" w:eastAsia="zh-CN"/>
              </w:rPr>
              <w:t>下料机</w:t>
            </w:r>
            <w:r>
              <w:rPr>
                <w:rFonts w:hint="eastAsia"/>
                <w:highlight w:val="none"/>
                <w:u w:val="single"/>
                <w:lang w:eastAsia="zh-CN"/>
              </w:rPr>
              <w:t>、</w:t>
            </w:r>
            <w:r>
              <w:rPr>
                <w:rFonts w:hint="eastAsia"/>
                <w:highlight w:val="none"/>
                <w:u w:val="single"/>
              </w:rPr>
              <w:t xml:space="preserve">         （列举2~4种）</w:t>
            </w:r>
          </w:p>
          <w:p>
            <w:pPr>
              <w:shd w:val="clear" w:color="auto" w:fill="EBF1DE" w:themeFill="accent3" w:themeFillTint="32"/>
              <w:rPr>
                <w:highlight w:val="none"/>
                <w:u w:val="single"/>
              </w:rPr>
            </w:pPr>
            <w:r>
              <w:rPr>
                <w:rFonts w:hint="eastAsia"/>
                <w:highlight w:val="none"/>
              </w:rPr>
              <w:t>主要耗能设备有：</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（列举2~4种）</w:t>
            </w:r>
          </w:p>
          <w:p>
            <w:pPr>
              <w:shd w:val="clear" w:color="auto" w:fill="EBF1DE" w:themeFill="accent3" w:themeFillTint="32"/>
              <w:rPr>
                <w:highlight w:val="none"/>
              </w:rPr>
            </w:pPr>
            <w:r>
              <w:rPr>
                <w:rFonts w:hint="eastAsia"/>
                <w:highlight w:val="none"/>
              </w:rPr>
              <w:t>特种设备：</w:t>
            </w:r>
            <w:r>
              <w:rPr>
                <w:rFonts w:hint="eastAsia" w:ascii="Wingdings" w:hAnsi="Wingdings"/>
                <w:highlight w:val="none"/>
                <w:lang w:eastAsia="zh-CN"/>
              </w:rPr>
              <w:sym w:font="Wingdings 2" w:char="0052"/>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p>
          <w:p>
            <w:pPr>
              <w:shd w:val="clear" w:color="auto" w:fill="EBF1DE" w:themeFill="accent3" w:themeFillTint="32"/>
              <w:rPr>
                <w:highlight w:val="none"/>
              </w:rPr>
            </w:pPr>
            <w:r>
              <w:rPr>
                <w:rFonts w:hint="eastAsia"/>
                <w:highlight w:val="none"/>
              </w:rPr>
              <w:t>辅助场所：</w:t>
            </w:r>
            <w:r>
              <w:rPr>
                <w:rFonts w:hint="eastAsia" w:ascii="Wingdings" w:hAnsi="Wingdings"/>
                <w:highlight w:val="none"/>
                <w:lang w:eastAsia="zh-CN"/>
              </w:rPr>
              <w:sym w:font="Wingdings 2" w:char="0052"/>
            </w:r>
            <w:r>
              <w:rPr>
                <w:rFonts w:hint="eastAsia"/>
                <w:highlight w:val="none"/>
              </w:rPr>
              <w:t xml:space="preserve">高压配电室 </w:t>
            </w:r>
            <w:r>
              <w:rPr>
                <w:rFonts w:hint="eastAsia" w:ascii="Wingdings" w:hAnsi="Wingdings"/>
                <w:highlight w:val="none"/>
                <w:lang w:eastAsia="zh-CN"/>
              </w:rPr>
              <w:sym w:font="Wingdings 2" w:char="0052"/>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A3"/>
            </w:r>
            <w:r>
              <w:rPr>
                <w:rFonts w:hint="eastAsia"/>
              </w:rPr>
              <w:t xml:space="preserve">进行了定期校准/检定  </w:t>
            </w:r>
            <w:r>
              <w:rPr>
                <w:rFonts w:hint="eastAsia" w:ascii="Wingdings" w:hAnsi="Wingdings"/>
                <w:lang w:eastAsia="zh-CN"/>
              </w:rPr>
              <w:sym w:font="Wingdings 2" w:char="0052"/>
            </w:r>
            <w:r>
              <w:rPr>
                <w:rFonts w:hint="eastAsia"/>
              </w:rPr>
              <w:t>未进行定期校准/检定的有：</w:t>
            </w:r>
            <w:r>
              <w:rPr>
                <w:rFonts w:hint="eastAsia"/>
                <w:highlight w:val="none"/>
                <w:u w:val="single"/>
                <w:lang w:val="en-US" w:eastAsia="zh-CN"/>
              </w:rPr>
              <w:t>由电力局和新鲜水供水单位</w:t>
            </w:r>
            <w:bookmarkStart w:id="34" w:name="_GoBack"/>
            <w:bookmarkEnd w:id="34"/>
            <w:r>
              <w:rPr>
                <w:rFonts w:hint="eastAsia"/>
                <w:highlight w:val="none"/>
                <w:u w:val="single"/>
                <w:lang w:val="en-US" w:eastAsia="zh-CN"/>
              </w:rPr>
              <w:t>负责鉴定</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pPr>
              <w:shd w:val="clear" w:color="auto" w:fill="EBF1DE" w:themeFill="accent3" w:themeFillTint="32"/>
            </w:pPr>
            <w:r>
              <w:rPr>
                <w:rFonts w:hint="eastAsia"/>
                <w:color w:val="FF0000"/>
              </w:rPr>
              <w:t xml:space="preserve"> </w:t>
            </w:r>
            <w:r>
              <w:rPr>
                <w:rFonts w:hint="eastAsia" w:ascii="Wingdings" w:hAnsi="Wingdings"/>
                <w:color w:val="FF0000"/>
                <w:lang w:eastAsia="zh-CN"/>
              </w:rPr>
              <w:sym w:font="Wingdings 2" w:char="00A3"/>
            </w:r>
            <w:r>
              <w:rPr>
                <w:rFonts w:hint="eastAsia"/>
                <w:color w:val="FF0000"/>
              </w:rPr>
              <w:t xml:space="preserve">操作规程 </w:t>
            </w:r>
            <w:r>
              <w:rPr>
                <w:rFonts w:hint="eastAsia" w:ascii="Wingdings" w:hAnsi="Wingdings"/>
                <w:color w:val="FF0000"/>
                <w:lang w:eastAsia="zh-CN"/>
              </w:rPr>
              <w:sym w:font="Wingdings 2" w:char="0052"/>
            </w:r>
            <w:r>
              <w:rPr>
                <w:rFonts w:hint="eastAsia"/>
                <w:color w:val="FF0000"/>
              </w:rPr>
              <w:t xml:space="preserve">作业文件  </w:t>
            </w:r>
            <w:r>
              <w:rPr>
                <w:rFonts w:hint="eastAsia" w:ascii="Wingdings" w:hAnsi="Wingdings"/>
                <w:color w:val="FF0000"/>
                <w:lang w:eastAsia="zh-CN"/>
              </w:rPr>
              <w:sym w:font="Wingdings 2" w:char="0052"/>
            </w:r>
            <w:r>
              <w:rPr>
                <w:rFonts w:hint="eastAsia"/>
                <w:color w:val="FF0000"/>
              </w:rPr>
              <w:t xml:space="preserve">工艺卡片   </w:t>
            </w:r>
            <w:r>
              <w:rPr>
                <w:rFonts w:hint="eastAsia" w:ascii="Wingdings" w:hAnsi="Wingdings"/>
                <w:color w:val="FF0000"/>
                <w:lang w:eastAsia="zh-CN"/>
              </w:rPr>
              <w:t>□</w:t>
            </w:r>
            <w:r>
              <w:rPr>
                <w:rFonts w:hint="eastAsia"/>
                <w:color w:val="FF0000"/>
              </w:rPr>
              <w:t xml:space="preserve">接收准则  </w:t>
            </w:r>
            <w:r>
              <w:rPr>
                <w:rFonts w:hint="eastAsia" w:ascii="Wingdings" w:hAnsi="Wingdings"/>
                <w:color w:val="FF0000"/>
                <w:lang w:eastAsia="zh-CN"/>
              </w:rPr>
              <w:t>□</w:t>
            </w:r>
            <w:r>
              <w:rPr>
                <w:rFonts w:hint="eastAsia"/>
                <w:color w:val="FF0000"/>
              </w:rPr>
              <w:t xml:space="preserve">工艺流程图  </w:t>
            </w:r>
            <w:r>
              <w:rPr>
                <w:rFonts w:hint="eastAsia" w:ascii="Wingdings" w:hAnsi="Wingdings"/>
                <w:color w:val="FF0000"/>
                <w:lang w:eastAsia="zh-CN"/>
              </w:rPr>
              <w:sym w:font="Wingdings 2" w:char="0052"/>
            </w:r>
            <w:r>
              <w:rPr>
                <w:rFonts w:hint="eastAsia"/>
                <w:color w:val="FF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能源采购 </w:t>
            </w:r>
            <w:r>
              <w:rPr>
                <w:rFonts w:hint="eastAsia" w:ascii="Wingdings" w:hAnsi="Wingdings"/>
                <w:lang w:eastAsia="zh-CN"/>
              </w:rPr>
              <w:sym w:font="Wingdings 2" w:char="0052"/>
            </w:r>
            <w:r>
              <w:rPr>
                <w:rFonts w:hint="eastAsia"/>
              </w:rPr>
              <w:t xml:space="preserve">主要用能设备采购  </w:t>
            </w:r>
            <w:r>
              <w:rPr>
                <w:rFonts w:hint="eastAsia" w:ascii="Wingdings" w:hAnsi="Wingdings"/>
                <w:lang w:eastAsia="zh-CN"/>
              </w:rPr>
              <w:sym w:font="Wingdings 2" w:char="0052"/>
            </w:r>
            <w:r>
              <w:rPr>
                <w:rFonts w:hint="eastAsia"/>
              </w:rPr>
              <w:t xml:space="preserve">淘汰落后设备更新 </w:t>
            </w:r>
            <w:r>
              <w:rPr>
                <w:rFonts w:hint="eastAsia" w:ascii="Wingdings" w:hAnsi="Wingdings"/>
                <w:lang w:eastAsia="zh-CN"/>
              </w:rPr>
              <w:sym w:font="Wingdings 2" w:char="0052"/>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控制设备运转，减少空转，适用时对转动设备增加变频设施</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企业自测 </w:t>
            </w:r>
            <w:r>
              <w:rPr>
                <w:rFonts w:hint="eastAsia" w:ascii="Wingdings" w:hAnsi="Wingdings"/>
                <w:lang w:eastAsia="zh-CN"/>
              </w:rPr>
              <w:t>□</w:t>
            </w:r>
            <w:r>
              <w:rPr>
                <w:rFonts w:hint="eastAsia"/>
              </w:rPr>
              <w:t xml:space="preserve">第三方监测  </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u w:val="single"/>
                <w:lang w:val="en-US" w:eastAsia="zh-CN"/>
              </w:rPr>
              <w:t>未开展</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ind w:firstLine="220" w:firstLineChars="0"/>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2444CF"/>
    <w:rsid w:val="2C3A1B7A"/>
    <w:rsid w:val="34742845"/>
    <w:rsid w:val="3BDF5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3</TotalTime>
  <ScaleCrop>false</ScaleCrop>
  <LinksUpToDate>false</LinksUpToDate>
  <CharactersWithSpaces>31688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2021-11-12T04:20:03Z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