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1170-2021-EnMs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福建省联丰盛漂染植绒有限公司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2021年11月16日 上午至2021年11月16日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eastAsia="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hint="eastAsia" w:ascii="宋体" w:hAnsi="宋体"/>
                <w:b/>
                <w:sz w:val="21"/>
                <w:szCs w:val="21"/>
              </w:rPr>
            </w:pPr>
            <w:r>
              <w:rPr>
                <w:rFonts w:hint="eastAsia" w:ascii="宋体" w:hAnsi="宋体"/>
                <w:b/>
                <w:color w:val="000000"/>
                <w:szCs w:val="21"/>
                <w:lang w:val="de-DE"/>
              </w:rPr>
              <w:sym w:font="Wingdings 2" w:char="0052"/>
            </w:r>
            <w:r>
              <w:rPr>
                <w:rFonts w:hint="eastAsia" w:ascii="宋体" w:hAnsi="宋体"/>
                <w:b/>
                <w:sz w:val="21"/>
                <w:szCs w:val="21"/>
              </w:rPr>
              <w:t>RB/T 102-2013 能源管理体系 纺织企业认证要求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河北省石家庄市高新区昆仑大街富力家园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福建省联丰盛漂染植绒有限公司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晋江市深沪镇东海安工业区</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362246</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晋江市深沪镇东海安工业区</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362246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吴天宝</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13600753141</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洪文富</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吴天宝</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布匹染色</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5393690" cy="1108075"/>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393690" cy="11080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rPr>
                <w:highlight w:val="none"/>
              </w:rPr>
              <w:t>染整过程所涉及的能源管理活动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两班两倒</w:t>
            </w:r>
            <w:r>
              <w:rPr>
                <w:rFonts w:hint="eastAsia" w:ascii="宋体" w:hAnsi="宋体"/>
                <w:color w:val="000000"/>
                <w:szCs w:val="21"/>
                <w:lang w:eastAsia="zh-CN"/>
              </w:rPr>
              <w:t>）</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981"/>
        <w:gridCol w:w="149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98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49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ascii="宋体"/>
                <w:b/>
                <w:color w:val="000000"/>
                <w:szCs w:val="21"/>
              </w:rPr>
              <w:t>晋江市深沪镇东海安工业区</w:t>
            </w:r>
          </w:p>
        </w:tc>
        <w:tc>
          <w:tcPr>
            <w:tcW w:w="2267" w:type="dxa"/>
          </w:tcPr>
          <w:p>
            <w:pPr>
              <w:spacing w:before="40" w:after="40"/>
              <w:rPr>
                <w:rFonts w:eastAsia="黑体"/>
                <w:szCs w:val="21"/>
                <w:lang w:val="de-DE" w:eastAsia="ja-JP"/>
              </w:rPr>
            </w:pPr>
            <w:r>
              <w:rPr>
                <w:rFonts w:ascii="宋体"/>
                <w:b/>
                <w:color w:val="000000"/>
                <w:szCs w:val="21"/>
              </w:rPr>
              <w:t>晋江市深沪镇东海安工业区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165</w:t>
            </w:r>
          </w:p>
        </w:tc>
        <w:tc>
          <w:tcPr>
            <w:tcW w:w="1981" w:type="dxa"/>
            <w:vAlign w:val="center"/>
          </w:tcPr>
          <w:p>
            <w:pPr>
              <w:pStyle w:val="19"/>
              <w:rPr>
                <w:rFonts w:eastAsia="黑体" w:cs="Arial"/>
                <w:sz w:val="21"/>
                <w:szCs w:val="21"/>
                <w:lang w:val="en-US" w:eastAsia="ja-JP"/>
              </w:rPr>
            </w:pPr>
            <w:r>
              <w:rPr>
                <w:highlight w:val="none"/>
              </w:rPr>
              <w:t>染整过程所涉及的能源管理活动</w:t>
            </w:r>
          </w:p>
        </w:tc>
        <w:tc>
          <w:tcPr>
            <w:tcW w:w="1491"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eastAsia="黑体"/>
                <w:szCs w:val="21"/>
                <w:lang w:val="en-US" w:eastAsia="zh-CN"/>
              </w:rPr>
            </w:pPr>
            <w:r>
              <w:rPr>
                <w:rFonts w:hint="eastAsia" w:eastAsia="黑体"/>
                <w:szCs w:val="21"/>
                <w:lang w:val="en-US" w:eastAsia="zh-CN"/>
              </w:rPr>
              <w:t>RB/T102-2013</w:t>
            </w:r>
            <w:bookmarkStart w:id="34" w:name="_GoBack"/>
            <w:bookmarkEnd w:id="34"/>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981"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981"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981"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981"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26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after="62" w:afterLines="20" w:line="360" w:lineRule="exact"/>
        <w:ind w:firstLine="207" w:firstLineChars="100"/>
        <w:rPr>
          <w:rFonts w:ascii="宋体" w:hAnsi="宋体"/>
          <w:b/>
          <w:color w:val="000000"/>
          <w:spacing w:val="-2"/>
          <w:szCs w:val="21"/>
        </w:rPr>
      </w:pP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不涉及</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hAnsi="宋体" w:eastAsia="宋体"/>
                <w:color w:val="000000"/>
                <w:szCs w:val="21"/>
                <w:lang w:val="en-US" w:eastAsia="zh-CN"/>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r>
              <w:rPr>
                <w:rFonts w:hint="eastAsia" w:ascii="宋体" w:hAnsi="宋体"/>
                <w:color w:val="000000"/>
                <w:szCs w:val="21"/>
                <w:lang w:eastAsia="zh-CN"/>
              </w:rPr>
              <w:t>——</w:t>
            </w:r>
            <w:r>
              <w:rPr>
                <w:rFonts w:hint="eastAsia" w:ascii="宋体" w:hAnsi="宋体"/>
                <w:color w:val="000000"/>
                <w:szCs w:val="21"/>
                <w:lang w:val="en-US" w:eastAsia="zh-CN"/>
              </w:rPr>
              <w:t>无</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3" w:name="二阶段审核日期"/>
            <w:r>
              <w:rPr>
                <w:rFonts w:hint="eastAsia" w:ascii="宋体"/>
                <w:b/>
                <w:color w:val="000000"/>
                <w:szCs w:val="21"/>
              </w:rPr>
              <w:t>2021-11</w:t>
            </w:r>
            <w:bookmarkEnd w:id="33"/>
            <w:r>
              <w:rPr>
                <w:rFonts w:hint="eastAsia" w:ascii="宋体"/>
                <w:b/>
                <w:color w:val="000000"/>
                <w:szCs w:val="21"/>
                <w:lang w:val="en-US" w:eastAsia="zh-CN"/>
              </w:rPr>
              <w:t>月底</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drawing>
          <wp:anchor distT="0" distB="0" distL="0" distR="0" simplePos="0" relativeHeight="251658240" behindDoc="0" locked="0" layoutInCell="1" allowOverlap="1">
            <wp:simplePos x="0" y="0"/>
            <wp:positionH relativeFrom="column">
              <wp:posOffset>1729740</wp:posOffset>
            </wp:positionH>
            <wp:positionV relativeFrom="paragraph">
              <wp:posOffset>65405</wp:posOffset>
            </wp:positionV>
            <wp:extent cx="888365" cy="212725"/>
            <wp:effectExtent l="0" t="0" r="635" b="3175"/>
            <wp:wrapSquare wrapText="bothSides"/>
            <wp:docPr id="4"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D:\审核任务\电子签\李丽英电子签名.png"/>
                    <pic:cNvPicPr>
                      <a:picLocks noChangeAspect="1"/>
                    </pic:cNvPicPr>
                  </pic:nvPicPr>
                  <pic:blipFill>
                    <a:blip r:embed="rId7"/>
                    <a:stretch>
                      <a:fillRect/>
                    </a:stretch>
                  </pic:blipFill>
                  <pic:spPr>
                    <a:xfrm>
                      <a:off x="0" y="0"/>
                      <a:ext cx="888365" cy="21272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2021.11.16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4889500" cy="60960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4889500" cy="6096000"/>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hint="eastAsia"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firstLine="660"/>
        <w:rPr>
          <w:rFonts w:hint="eastAsia" w:eastAsia="隶书"/>
          <w:color w:val="000000"/>
          <w:sz w:val="21"/>
          <w:szCs w:val="21"/>
        </w:rPr>
      </w:pP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福建省联丰盛漂染植绒有限公司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内审报告显示内审时间为2021年10月26日和2021年10月18日</w:t>
            </w:r>
          </w:p>
        </w:tc>
        <w:tc>
          <w:tcPr>
            <w:tcW w:w="922" w:type="dxa"/>
            <w:vAlign w:val="center"/>
          </w:tcPr>
          <w:p>
            <w:pPr>
              <w:pStyle w:val="6"/>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GB/23331-2020</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9.2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48" w:type="dxa"/>
            <w:vAlign w:val="center"/>
          </w:tcPr>
          <w:p>
            <w:pPr>
              <w:pStyle w:val="6"/>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内审报告显示，内审有1项不符合，未提供不符合报告及纠正情况</w:t>
            </w:r>
          </w:p>
        </w:tc>
        <w:tc>
          <w:tcPr>
            <w:tcW w:w="922" w:type="dxa"/>
            <w:vAlign w:val="center"/>
          </w:tcPr>
          <w:p>
            <w:pPr>
              <w:pStyle w:val="6"/>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GB/23331-2020</w:t>
            </w:r>
          </w:p>
        </w:tc>
        <w:tc>
          <w:tcPr>
            <w:tcW w:w="1133"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9.2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48" w:type="dxa"/>
            <w:vAlign w:val="center"/>
          </w:tcPr>
          <w:p>
            <w:pPr>
              <w:pStyle w:val="6"/>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3</w:t>
            </w:r>
          </w:p>
        </w:tc>
        <w:tc>
          <w:tcPr>
            <w:tcW w:w="6191" w:type="dxa"/>
            <w:gridSpan w:val="2"/>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eastAsia="宋体" w:cs="Times New Roman"/>
                <w:color w:val="000000"/>
                <w:sz w:val="21"/>
                <w:szCs w:val="21"/>
                <w:lang w:val="en-US" w:eastAsia="zh-CN"/>
              </w:rPr>
              <w:t>法律法规清单中：“重点用能单位节能管理办法”、“综合能耗计算通则”等未更新；“设备热效率计算通则”等已作废；请修改并举一反三。</w:t>
            </w:r>
          </w:p>
        </w:tc>
        <w:tc>
          <w:tcPr>
            <w:tcW w:w="922" w:type="dxa"/>
            <w:vAlign w:val="center"/>
          </w:tcPr>
          <w:p>
            <w:pPr>
              <w:pStyle w:val="6"/>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GB/23331-2020</w:t>
            </w:r>
          </w:p>
        </w:tc>
        <w:tc>
          <w:tcPr>
            <w:tcW w:w="1133"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4.2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48" w:type="dxa"/>
            <w:vAlign w:val="center"/>
          </w:tcPr>
          <w:p>
            <w:pPr>
              <w:pStyle w:val="6"/>
              <w:pBdr>
                <w:bottom w:val="none" w:color="auto" w:sz="0" w:space="0"/>
              </w:pBdr>
              <w:ind w:right="600"/>
              <w:jc w:val="both"/>
              <w:rPr>
                <w:rFonts w:hint="default" w:ascii="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p>
        </w:tc>
        <w:tc>
          <w:tcPr>
            <w:tcW w:w="922" w:type="dxa"/>
            <w:vAlign w:val="center"/>
          </w:tcPr>
          <w:p>
            <w:pPr>
              <w:pStyle w:val="6"/>
              <w:pBdr>
                <w:bottom w:val="none" w:color="auto" w:sz="0" w:space="0"/>
              </w:pBdr>
              <w:tabs>
                <w:tab w:val="center" w:pos="5737"/>
                <w:tab w:val="clear" w:pos="4153"/>
              </w:tabs>
              <w:jc w:val="both"/>
              <w:rPr>
                <w:rFonts w:hint="eastAsia" w:eastAsia="宋体" w:cs="Times New Roman"/>
                <w:color w:val="000000"/>
                <w:sz w:val="21"/>
                <w:szCs w:val="21"/>
                <w:lang w:val="en-US" w:eastAsia="zh-CN"/>
              </w:rPr>
            </w:pPr>
          </w:p>
        </w:tc>
        <w:tc>
          <w:tcPr>
            <w:tcW w:w="1133" w:type="dxa"/>
            <w:vAlign w:val="center"/>
          </w:tcPr>
          <w:p>
            <w:pPr>
              <w:pStyle w:val="6"/>
              <w:pBdr>
                <w:bottom w:val="none" w:color="auto" w:sz="0" w:space="0"/>
              </w:pBdr>
              <w:ind w:right="600"/>
              <w:jc w:val="both"/>
              <w:rPr>
                <w:rFonts w:hint="eastAsia"/>
                <w:color w:val="000000"/>
                <w:sz w:val="21"/>
                <w:szCs w:val="21"/>
                <w:lang w:val="en-US" w:eastAsia="zh-CN"/>
              </w:rPr>
            </w:pPr>
          </w:p>
        </w:tc>
        <w:tc>
          <w:tcPr>
            <w:tcW w:w="934" w:type="dxa"/>
            <w:vAlign w:val="center"/>
          </w:tcPr>
          <w:p>
            <w:pPr>
              <w:pStyle w:val="6"/>
              <w:pBdr>
                <w:bottom w:val="none" w:color="auto" w:sz="0" w:space="0"/>
              </w:pBdr>
              <w:ind w:right="600"/>
              <w:jc w:val="both"/>
              <w:rPr>
                <w:rFonts w:hint="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48" w:type="dxa"/>
            <w:vAlign w:val="center"/>
          </w:tcPr>
          <w:p>
            <w:pPr>
              <w:pStyle w:val="6"/>
              <w:pBdr>
                <w:bottom w:val="none" w:color="auto" w:sz="0" w:space="0"/>
              </w:pBdr>
              <w:ind w:right="600"/>
              <w:jc w:val="both"/>
              <w:rPr>
                <w:rFonts w:hint="default" w:ascii="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p>
        </w:tc>
        <w:tc>
          <w:tcPr>
            <w:tcW w:w="922" w:type="dxa"/>
            <w:vAlign w:val="center"/>
          </w:tcPr>
          <w:p>
            <w:pPr>
              <w:pStyle w:val="6"/>
              <w:pBdr>
                <w:bottom w:val="none" w:color="auto" w:sz="0" w:space="0"/>
              </w:pBdr>
              <w:tabs>
                <w:tab w:val="center" w:pos="5737"/>
                <w:tab w:val="clear" w:pos="4153"/>
              </w:tabs>
              <w:jc w:val="both"/>
              <w:rPr>
                <w:rFonts w:hint="eastAsia" w:eastAsia="宋体" w:cs="Times New Roman"/>
                <w:color w:val="000000"/>
                <w:sz w:val="21"/>
                <w:szCs w:val="21"/>
                <w:lang w:val="en-US" w:eastAsia="zh-CN"/>
              </w:rPr>
            </w:pPr>
          </w:p>
        </w:tc>
        <w:tc>
          <w:tcPr>
            <w:tcW w:w="1133" w:type="dxa"/>
            <w:vAlign w:val="center"/>
          </w:tcPr>
          <w:p>
            <w:pPr>
              <w:pStyle w:val="6"/>
              <w:pBdr>
                <w:bottom w:val="none" w:color="auto" w:sz="0" w:space="0"/>
              </w:pBdr>
              <w:ind w:right="600"/>
              <w:jc w:val="both"/>
              <w:rPr>
                <w:rFonts w:hint="eastAsia"/>
                <w:color w:val="000000"/>
                <w:sz w:val="21"/>
                <w:szCs w:val="21"/>
                <w:lang w:val="en-US" w:eastAsia="zh-CN"/>
              </w:rPr>
            </w:pPr>
          </w:p>
        </w:tc>
        <w:tc>
          <w:tcPr>
            <w:tcW w:w="934" w:type="dxa"/>
            <w:vAlign w:val="center"/>
          </w:tcPr>
          <w:p>
            <w:pPr>
              <w:pStyle w:val="6"/>
              <w:pBdr>
                <w:bottom w:val="none" w:color="auto" w:sz="0" w:space="0"/>
              </w:pBdr>
              <w:ind w:right="600"/>
              <w:jc w:val="both"/>
              <w:rPr>
                <w:rFonts w:hint="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48" w:type="dxa"/>
            <w:vAlign w:val="center"/>
          </w:tcPr>
          <w:p>
            <w:pPr>
              <w:pStyle w:val="6"/>
              <w:pBdr>
                <w:bottom w:val="none" w:color="auto" w:sz="0" w:space="0"/>
              </w:pBdr>
              <w:ind w:right="600"/>
              <w:jc w:val="both"/>
              <w:rPr>
                <w:rFonts w:hint="default" w:ascii="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p>
        </w:tc>
        <w:tc>
          <w:tcPr>
            <w:tcW w:w="922" w:type="dxa"/>
            <w:vAlign w:val="center"/>
          </w:tcPr>
          <w:p>
            <w:pPr>
              <w:pStyle w:val="6"/>
              <w:pBdr>
                <w:bottom w:val="none" w:color="auto" w:sz="0" w:space="0"/>
              </w:pBdr>
              <w:tabs>
                <w:tab w:val="center" w:pos="5737"/>
                <w:tab w:val="clear" w:pos="4153"/>
              </w:tabs>
              <w:jc w:val="both"/>
              <w:rPr>
                <w:rFonts w:hint="eastAsia" w:eastAsia="宋体" w:cs="Times New Roman"/>
                <w:color w:val="000000"/>
                <w:sz w:val="21"/>
                <w:szCs w:val="21"/>
                <w:lang w:val="en-US" w:eastAsia="zh-CN"/>
              </w:rPr>
            </w:pPr>
          </w:p>
        </w:tc>
        <w:tc>
          <w:tcPr>
            <w:tcW w:w="1133" w:type="dxa"/>
            <w:vAlign w:val="center"/>
          </w:tcPr>
          <w:p>
            <w:pPr>
              <w:pStyle w:val="6"/>
              <w:pBdr>
                <w:bottom w:val="none" w:color="auto" w:sz="0" w:space="0"/>
              </w:pBdr>
              <w:ind w:right="600"/>
              <w:jc w:val="both"/>
              <w:rPr>
                <w:rFonts w:hint="eastAsia"/>
                <w:color w:val="000000"/>
                <w:sz w:val="21"/>
                <w:szCs w:val="21"/>
                <w:lang w:val="en-US" w:eastAsia="zh-CN"/>
              </w:rPr>
            </w:pPr>
          </w:p>
        </w:tc>
        <w:tc>
          <w:tcPr>
            <w:tcW w:w="934" w:type="dxa"/>
            <w:vAlign w:val="center"/>
          </w:tcPr>
          <w:p>
            <w:pPr>
              <w:pStyle w:val="6"/>
              <w:pBdr>
                <w:bottom w:val="none" w:color="auto" w:sz="0" w:space="0"/>
              </w:pBdr>
              <w:ind w:right="600"/>
              <w:jc w:val="both"/>
              <w:rPr>
                <w:rFonts w:hint="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0" distR="0" simplePos="0" relativeHeight="251659264" behindDoc="0" locked="0" layoutInCell="1" allowOverlap="1">
                  <wp:simplePos x="0" y="0"/>
                  <wp:positionH relativeFrom="column">
                    <wp:posOffset>770890</wp:posOffset>
                  </wp:positionH>
                  <wp:positionV relativeFrom="paragraph">
                    <wp:posOffset>19685</wp:posOffset>
                  </wp:positionV>
                  <wp:extent cx="888365" cy="212725"/>
                  <wp:effectExtent l="0" t="0" r="635" b="3175"/>
                  <wp:wrapSquare wrapText="bothSides"/>
                  <wp:docPr id="5"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审核任务\电子签\李丽英电子签名.png"/>
                          <pic:cNvPicPr>
                            <a:picLocks noChangeAspect="1"/>
                          </pic:cNvPicPr>
                        </pic:nvPicPr>
                        <pic:blipFill>
                          <a:blip r:embed="rId7"/>
                          <a:stretch>
                            <a:fillRect/>
                          </a:stretch>
                        </pic:blipFill>
                        <pic:spPr>
                          <a:xfrm>
                            <a:off x="0" y="0"/>
                            <a:ext cx="888365" cy="21272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46D13A0"/>
    <w:rsid w:val="16F643FA"/>
    <w:rsid w:val="25962324"/>
    <w:rsid w:val="28AC562E"/>
    <w:rsid w:val="60AD2B59"/>
    <w:rsid w:val="6E66650B"/>
    <w:rsid w:val="75834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9</TotalTime>
  <ScaleCrop>false</ScaleCrop>
  <LinksUpToDate>false</LinksUpToDate>
  <CharactersWithSpaces>9455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2021-12-03T02:14:38Z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