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1165-2021-QEO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Align w:val="center"/>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710" w:type="dxa"/>
            <w:gridSpan w:val="2"/>
            <w:vAlign w:val="center"/>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ascii="Times New Roman" w:hAnsi="Times New Roman" w:eastAsia="宋体" w:cs="Times New Roman"/>
                <w:kern w:val="2"/>
                <w:sz w:val="22"/>
                <w:szCs w:val="22"/>
                <w:lang w:val="en-US" w:eastAsia="zh-CN" w:bidi="ar-SA"/>
              </w:rPr>
              <w:t>庆阳诚关物业服务集团有限公司</w:t>
            </w:r>
            <w:bookmarkEnd w:id="1"/>
          </w:p>
        </w:tc>
        <w:tc>
          <w:tcPr>
            <w:tcW w:w="1700" w:type="dxa"/>
            <w:vAlign w:val="center"/>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vAlign w:val="center"/>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snapToGrid w:val="0"/>
              <w:spacing w:line="0" w:lineRule="atLeast"/>
              <w:jc w:val="center"/>
              <w:rPr>
                <w:rFonts w:hint="eastAsia"/>
                <w:sz w:val="22"/>
                <w:szCs w:val="22"/>
                <w:lang w:val="en-US" w:eastAsia="zh-CN"/>
              </w:rPr>
            </w:pPr>
            <w:r>
              <w:rPr>
                <w:rFonts w:hint="eastAsia"/>
                <w:sz w:val="22"/>
                <w:szCs w:val="22"/>
                <w:lang w:val="en-GB" w:eastAsia="zh-CN"/>
              </w:rPr>
              <w:t>订单号</w:t>
            </w:r>
          </w:p>
        </w:tc>
        <w:tc>
          <w:tcPr>
            <w:tcW w:w="4710" w:type="dxa"/>
            <w:gridSpan w:val="2"/>
            <w:vAlign w:val="center"/>
          </w:tcPr>
          <w:p>
            <w:pPr>
              <w:snapToGrid w:val="0"/>
              <w:spacing w:line="0" w:lineRule="atLeast"/>
              <w:jc w:val="center"/>
              <w:rPr>
                <w:rFonts w:hint="eastAsia"/>
                <w:sz w:val="22"/>
                <w:szCs w:val="22"/>
                <w:lang w:val="en-US" w:eastAsia="zh-CN"/>
              </w:rPr>
            </w:pPr>
          </w:p>
        </w:tc>
        <w:tc>
          <w:tcPr>
            <w:tcW w:w="1700" w:type="dxa"/>
            <w:vAlign w:val="center"/>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vAlign w:val="center"/>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bottom"/>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710" w:type="dxa"/>
            <w:gridSpan w:val="2"/>
            <w:vAlign w:val="bottom"/>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91621002MA72621A8N</w:t>
            </w:r>
            <w:bookmarkEnd w:id="4"/>
          </w:p>
        </w:tc>
        <w:tc>
          <w:tcPr>
            <w:tcW w:w="1700" w:type="dxa"/>
            <w:vAlign w:val="bottom"/>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vAlign w:val="bottom"/>
          </w:tcPr>
          <w:p>
            <w:pPr>
              <w:snapToGrid w:val="0"/>
              <w:spacing w:line="0" w:lineRule="atLeast"/>
              <w:jc w:val="center"/>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710"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70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企业体系有效人数43</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Q:43,</w:t>
            </w:r>
          </w:p>
          <w:p>
            <w:pPr>
              <w:snapToGrid w:val="0"/>
              <w:spacing w:line="0" w:lineRule="atLeast"/>
              <w:jc w:val="center"/>
              <w:rPr>
                <w:rFonts w:hint="eastAsia"/>
                <w:sz w:val="22"/>
                <w:szCs w:val="22"/>
                <w:lang w:val="en-US" w:eastAsia="zh-CN"/>
              </w:rPr>
            </w:pPr>
            <w:r>
              <w:rPr>
                <w:rFonts w:hint="eastAsia"/>
                <w:sz w:val="22"/>
                <w:szCs w:val="22"/>
                <w:lang w:val="en-US" w:eastAsia="zh-CN"/>
              </w:rPr>
              <w:t>E:43,</w:t>
            </w:r>
          </w:p>
          <w:p>
            <w:pPr>
              <w:snapToGrid w:val="0"/>
              <w:spacing w:line="0" w:lineRule="atLeast"/>
              <w:jc w:val="center"/>
              <w:rPr>
                <w:rFonts w:hint="eastAsia"/>
                <w:sz w:val="22"/>
                <w:szCs w:val="22"/>
                <w:lang w:val="en-US" w:eastAsia="zh-CN"/>
              </w:rPr>
            </w:pPr>
            <w:r>
              <w:rPr>
                <w:rFonts w:hint="eastAsia"/>
                <w:sz w:val="22"/>
                <w:szCs w:val="22"/>
                <w:lang w:val="en-US" w:eastAsia="zh-CN"/>
              </w:rPr>
              <w:t>O:43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庆阳诚关物业服务集团有限公司</w:t>
            </w:r>
            <w:bookmarkEnd w:id="17"/>
          </w:p>
        </w:tc>
        <w:tc>
          <w:tcPr>
            <w:tcW w:w="5013" w:type="dxa"/>
            <w:gridSpan w:val="3"/>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Q：物业服务</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E：物业服务所涉及场所的相关环境管理活动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O：物业服务所涉及场所的相关职业健康安全管理活动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甘肃省庆阳市西峰区岐黄大道21号世纪公馆写字楼5楼</w:t>
            </w:r>
            <w:bookmarkEnd w:id="19"/>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甘肃省庆阳市西峰区岐黄大道21号世纪公馆写字楼5楼</w:t>
            </w:r>
            <w:bookmarkEnd w:id="20"/>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3"/>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Qingyang Chengguan Property Services Group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2"/>
          </w:tcPr>
          <w:p>
            <w:pPr>
              <w:snapToGrid w:val="0"/>
              <w:spacing w:line="0" w:lineRule="atLeast"/>
              <w:jc w:val="left"/>
              <w:rPr>
                <w:rFonts w:hint="eastAsia"/>
                <w:sz w:val="21"/>
                <w:szCs w:val="16"/>
                <w:lang w:val="en-US" w:eastAsia="zh-CN"/>
              </w:rPr>
            </w:pPr>
            <w:r>
              <w:rPr>
                <w:rFonts w:hint="eastAsia"/>
                <w:sz w:val="21"/>
                <w:szCs w:val="16"/>
                <w:lang w:val="en-US" w:eastAsia="zh-CN"/>
              </w:rPr>
              <w:t>Realty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2"/>
          </w:tcPr>
          <w:p>
            <w:pPr>
              <w:snapToGrid w:val="0"/>
              <w:spacing w:line="0" w:lineRule="atLeast"/>
              <w:jc w:val="left"/>
              <w:rPr>
                <w:rFonts w:hint="eastAsia"/>
                <w:sz w:val="21"/>
                <w:szCs w:val="16"/>
                <w:lang w:val="en-US" w:eastAsia="zh-CN"/>
              </w:rPr>
            </w:pPr>
            <w:r>
              <w:rPr>
                <w:rFonts w:hint="eastAsia"/>
                <w:sz w:val="21"/>
                <w:szCs w:val="16"/>
                <w:lang w:val="en-US" w:eastAsia="zh-CN"/>
              </w:rPr>
              <w:t>Related environmental management activities of the premises involved in property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5th Floor, Century Mansion office Building, No.21, Qizhuang Avenue, Xifeng District, Qingyang City, Gansu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Occupational health and safety management activities of the premises involved in property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5th Floor, Century Mansion office Building, No.21, Qizhuang Avenue, Xifeng District, Qingyang City, Gansu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576" w:type="dxa"/>
            <w:vAlign w:val="center"/>
          </w:tcPr>
          <w:p>
            <w:pPr>
              <w:snapToGrid w:val="0"/>
              <w:spacing w:line="0" w:lineRule="atLeast"/>
              <w:jc w:val="center"/>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10" w:type="dxa"/>
            <w:gridSpan w:val="2"/>
            <w:vAlign w:val="center"/>
          </w:tcPr>
          <w:p>
            <w:pPr>
              <w:snapToGrid w:val="0"/>
              <w:spacing w:line="0" w:lineRule="atLeast"/>
              <w:jc w:val="center"/>
              <w:rPr>
                <w:rFonts w:cs="Arial"/>
                <w:b/>
                <w:bCs/>
                <w:sz w:val="22"/>
                <w:szCs w:val="16"/>
                <w:lang w:val="en-US" w:eastAsia="zh-CN"/>
              </w:rPr>
            </w:pPr>
          </w:p>
        </w:tc>
        <w:tc>
          <w:tcPr>
            <w:tcW w:w="1700" w:type="dxa"/>
            <w:vAlign w:val="center"/>
          </w:tcPr>
          <w:p>
            <w:pPr>
              <w:snapToGrid w:val="0"/>
              <w:spacing w:line="0" w:lineRule="atLeast"/>
              <w:jc w:val="center"/>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vAlign w:val="center"/>
          </w:tcPr>
          <w:p>
            <w:pPr>
              <w:snapToGrid w:val="0"/>
              <w:spacing w:line="0" w:lineRule="atLeast"/>
              <w:jc w:val="center"/>
              <w:rPr>
                <w:rFonts w:hint="eastAsia" w:ascii="Times New Roman" w:hAnsi="Times New Roman" w:eastAsia="宋体" w:cs="Times New Roman"/>
                <w:b w:val="0"/>
                <w:kern w:val="2"/>
                <w:sz w:val="22"/>
                <w:szCs w:val="22"/>
                <w:lang w:val="en-US" w:eastAsia="zh-CN" w:bidi="ar-SA"/>
              </w:rPr>
            </w:pPr>
            <w:r>
              <w:rPr>
                <w:rFonts w:hint="eastAsia"/>
                <w:vertAlign w:val="baseline"/>
                <w:lang w:val="en-US" w:eastAsia="zh-CN"/>
              </w:rPr>
              <w:drawing>
                <wp:inline distT="0" distB="0" distL="114300" distR="114300">
                  <wp:extent cx="508635" cy="391160"/>
                  <wp:effectExtent l="0" t="0" r="12065" b="2540"/>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7"/>
                          <a:stretch>
                            <a:fillRect/>
                          </a:stretch>
                        </pic:blipFill>
                        <pic:spPr>
                          <a:xfrm>
                            <a:off x="0" y="0"/>
                            <a:ext cx="508635" cy="391160"/>
                          </a:xfrm>
                          <a:prstGeom prst="rect">
                            <a:avLst/>
                          </a:prstGeom>
                        </pic:spPr>
                      </pic:pic>
                    </a:graphicData>
                  </a:graphic>
                </wp:inline>
              </w:drawing>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152995"/>
    <w:rsid w:val="6D406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2021-11-08T06:26:53Z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