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120" w:after="0" w:line="360" w:lineRule="auto"/>
              <w:jc w:val="center"/>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val="0"/>
              <w:snapToGrid w:val="0"/>
              <w:spacing w:after="0" w:line="360" w:lineRule="auto"/>
              <w:jc w:val="center"/>
            </w:pPr>
            <w:r>
              <w:rPr>
                <w:rFonts w:hint="eastAsia"/>
                <w:sz w:val="24"/>
                <w:szCs w:val="24"/>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val="0"/>
              <w:snapToGrid w:val="0"/>
              <w:spacing w:after="0" w:line="360" w:lineRule="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管理层</w:t>
            </w:r>
            <w:r>
              <w:rPr>
                <w:sz w:val="24"/>
                <w:szCs w:val="24"/>
              </w:rPr>
              <w:t xml:space="preserve">        </w:t>
            </w:r>
            <w:r>
              <w:rPr>
                <w:rFonts w:hint="eastAsia"/>
                <w:sz w:val="24"/>
                <w:szCs w:val="24"/>
              </w:rPr>
              <w:t>主管领导：</w:t>
            </w:r>
            <w:bookmarkStart w:id="0" w:name="管理者代表"/>
            <w:r>
              <w:rPr>
                <w:rFonts w:hint="eastAsia"/>
                <w:sz w:val="24"/>
                <w:szCs w:val="24"/>
                <w:lang w:val="en-US" w:eastAsia="zh-CN"/>
              </w:rPr>
              <w:t>王新明、</w:t>
            </w:r>
            <w:r>
              <w:rPr>
                <w:rFonts w:hint="eastAsia"/>
                <w:sz w:val="24"/>
                <w:szCs w:val="24"/>
              </w:rPr>
              <w:t>张鹏华</w:t>
            </w:r>
            <w:bookmarkEnd w:id="0"/>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张明科</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before="120" w:after="0" w:line="360" w:lineRule="auto"/>
            </w:pPr>
            <w:r>
              <w:rPr>
                <w:rFonts w:hint="eastAsia"/>
                <w:sz w:val="24"/>
                <w:szCs w:val="24"/>
              </w:rPr>
              <w:t>审核员：</w:t>
            </w:r>
            <w:r>
              <w:rPr>
                <w:rFonts w:hint="eastAsia"/>
                <w:sz w:val="24"/>
                <w:szCs w:val="24"/>
                <w:lang w:val="en-US" w:eastAsia="zh-CN"/>
              </w:rPr>
              <w:t>郭力</w:t>
            </w:r>
            <w:r>
              <w:rPr>
                <w:rFonts w:hint="eastAsia" w:cs="Times New Roman"/>
                <w:sz w:val="20"/>
                <w:lang w:val="en-US" w:eastAsia="zh-CN"/>
              </w:rPr>
              <w:t xml:space="preserve">  </w:t>
            </w:r>
            <w:r>
              <w:rPr>
                <w:sz w:val="24"/>
                <w:szCs w:val="24"/>
              </w:rPr>
              <w:t xml:space="preserve">    </w:t>
            </w:r>
            <w:r>
              <w:rPr>
                <w:rFonts w:hint="eastAsia"/>
                <w:sz w:val="24"/>
                <w:szCs w:val="24"/>
              </w:rPr>
              <w:t>审核时间：</w:t>
            </w:r>
            <w:bookmarkStart w:id="1" w:name="审核日期"/>
            <w:r>
              <w:t>2021年11月08日 下午</w:t>
            </w:r>
            <w:bookmarkEnd w:id="1"/>
          </w:p>
        </w:tc>
        <w:tc>
          <w:tcPr>
            <w:tcW w:w="1585" w:type="dxa"/>
            <w:vMerge w:val="continue"/>
          </w:tcPr>
          <w:p>
            <w:pPr>
              <w:keepNext w:val="0"/>
              <w:keepLines w:val="0"/>
              <w:pageBreakBefore w:val="0"/>
              <w:widowControl w:val="0"/>
              <w:kinsoku/>
              <w:wordWrap/>
              <w:overflowPunct/>
              <w:topLinePunct w:val="0"/>
              <w:autoSpaceDE/>
              <w:autoSpaceDN/>
              <w:bidi w:val="0"/>
              <w:adjustRightInd w:val="0"/>
              <w:snapToGrid w:val="0"/>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sz w:val="24"/>
                <w:szCs w:val="24"/>
              </w:rPr>
            </w:pPr>
            <w:r>
              <w:rPr>
                <w:rFonts w:hint="eastAsia" w:ascii="宋体" w:hAnsi="宋体" w:cs="Arial"/>
                <w:spacing w:val="-6"/>
                <w:sz w:val="21"/>
                <w:szCs w:val="21"/>
              </w:rPr>
              <w:t>E:4.1理解组织及其环境、4.2理解相关方的需求和期望、4.3 确定管理体系的范围、4.4环境管理体系及其过程、5.1领导作用和承诺、5.2环境方针、5.3组织的岗位、职责和权限、6.2目标及其实现的策划、7.1资源、7.4.3外部沟通、9.3管理评审、10改进</w:t>
            </w:r>
          </w:p>
        </w:tc>
        <w:tc>
          <w:tcPr>
            <w:tcW w:w="1585" w:type="dxa"/>
            <w:vMerge w:val="continue"/>
          </w:tcPr>
          <w:p>
            <w:pPr>
              <w:keepNext w:val="0"/>
              <w:keepLines w:val="0"/>
              <w:pageBreakBefore w:val="0"/>
              <w:widowControl w:val="0"/>
              <w:kinsoku/>
              <w:wordWrap/>
              <w:overflowPunct/>
              <w:topLinePunct w:val="0"/>
              <w:autoSpaceDE/>
              <w:autoSpaceDN/>
              <w:bidi w:val="0"/>
              <w:adjustRightInd w:val="0"/>
              <w:snapToGrid w:val="0"/>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after="0" w:line="360" w:lineRule="auto"/>
            </w:pPr>
            <w:r>
              <w:rPr>
                <w:rFonts w:hint="eastAsia" w:ascii="宋体" w:hAnsi="宋体" w:cs="Arial"/>
                <w:spacing w:val="-6"/>
                <w:sz w:val="21"/>
                <w:szCs w:val="21"/>
              </w:rPr>
              <w:t>理解组织及其环境</w:t>
            </w:r>
          </w:p>
        </w:tc>
        <w:tc>
          <w:tcPr>
            <w:tcW w:w="960" w:type="dxa"/>
          </w:tcPr>
          <w:p>
            <w:pPr>
              <w:keepNext w:val="0"/>
              <w:keepLines w:val="0"/>
              <w:pageBreakBefore w:val="0"/>
              <w:widowControl w:val="0"/>
              <w:kinsoku/>
              <w:wordWrap/>
              <w:overflowPunct/>
              <w:topLinePunct w:val="0"/>
              <w:autoSpaceDE/>
              <w:autoSpaceDN/>
              <w:bidi w:val="0"/>
              <w:adjustRightInd w:val="0"/>
              <w:snapToGrid w:val="0"/>
              <w:spacing w:after="0" w:line="360" w:lineRule="auto"/>
            </w:pPr>
            <w:r>
              <w:rPr>
                <w:rFonts w:hint="eastAsia" w:ascii="宋体" w:hAnsi="宋体" w:cs="Arial"/>
                <w:spacing w:val="-6"/>
                <w:sz w:val="21"/>
                <w:szCs w:val="21"/>
              </w:rPr>
              <w:t>E:4.1</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jc w:val="left"/>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与总经理通话沟通，公司确定与目标和战略方向相关并影响公司实现管理体系预期结果的各种外部和内部因素（问题），这些问题包括受公司影响的或能够影响公司的环境状况；并对这些内部和外部因素的相关信息进行监视和评审。</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jc w:val="left"/>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 xml:space="preserve">外部环境可以考虑外部因素如国际、国内、区域和当地的各种法律法规、竞争、市场和经济方面的环境等,正面和负面要素或条件，有助于理解外部环境。  </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jc w:val="left"/>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内部环境可以考虑内部因素如公司和员工的文化、价值观、知识、绩效等相关因素，正面和负面要素或条件,有助于理解内部环境。</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jc w:val="left"/>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查看《内外部环境SWOT分析记录》，表中对其识别内外部环境因素的环境分类、SWOT分析等进行了监视评审其过程内容，基本符合要求.</w:t>
            </w:r>
          </w:p>
        </w:tc>
        <w:tc>
          <w:tcPr>
            <w:tcW w:w="1585" w:type="dxa"/>
          </w:tcPr>
          <w:p>
            <w:pPr>
              <w:keepNext w:val="0"/>
              <w:keepLines w:val="0"/>
              <w:pageBreakBefore w:val="0"/>
              <w:widowControl w:val="0"/>
              <w:kinsoku/>
              <w:wordWrap/>
              <w:overflowPunct/>
              <w:topLinePunct w:val="0"/>
              <w:autoSpaceDE/>
              <w:autoSpaceDN/>
              <w:bidi w:val="0"/>
              <w:adjustRightInd w:val="0"/>
              <w:snapToGrid w:val="0"/>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after="0" w:line="360" w:lineRule="auto"/>
            </w:pPr>
            <w:r>
              <w:rPr>
                <w:rFonts w:hint="eastAsia" w:ascii="宋体" w:hAnsi="宋体" w:cs="Arial"/>
                <w:spacing w:val="-6"/>
                <w:sz w:val="21"/>
                <w:szCs w:val="21"/>
              </w:rPr>
              <w:t>理解相关方的需求和期望</w:t>
            </w:r>
          </w:p>
        </w:tc>
        <w:tc>
          <w:tcPr>
            <w:tcW w:w="960" w:type="dxa"/>
          </w:tcPr>
          <w:p>
            <w:pPr>
              <w:keepNext w:val="0"/>
              <w:keepLines w:val="0"/>
              <w:pageBreakBefore w:val="0"/>
              <w:widowControl w:val="0"/>
              <w:kinsoku/>
              <w:wordWrap/>
              <w:overflowPunct/>
              <w:topLinePunct w:val="0"/>
              <w:autoSpaceDE/>
              <w:autoSpaceDN/>
              <w:bidi w:val="0"/>
              <w:adjustRightInd w:val="0"/>
              <w:snapToGrid w:val="0"/>
              <w:spacing w:after="0" w:line="360" w:lineRule="auto"/>
            </w:pPr>
            <w:r>
              <w:rPr>
                <w:rFonts w:hint="eastAsia" w:ascii="宋体" w:hAnsi="宋体" w:cs="Arial"/>
                <w:spacing w:val="-6"/>
                <w:sz w:val="21"/>
                <w:szCs w:val="21"/>
              </w:rPr>
              <w:t>E:4.2</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jc w:val="left"/>
              <w:textAlignment w:val="baseline"/>
              <w:rPr>
                <w:rFonts w:hint="eastAsia" w:ascii="宋体" w:hAnsi="宋体" w:cs="Arial"/>
                <w:spacing w:val="-6"/>
                <w:sz w:val="21"/>
                <w:szCs w:val="21"/>
              </w:rPr>
            </w:pPr>
            <w:r>
              <w:rPr>
                <w:rFonts w:hint="eastAsia" w:ascii="宋体" w:hAnsi="宋体" w:cs="Arial"/>
                <w:spacing w:val="-6"/>
                <w:sz w:val="21"/>
                <w:szCs w:val="21"/>
              </w:rPr>
              <w:t>企业识别了对持续提供符合顾客要求和适用法律法规要求的产品和服务能力具有影响或潜在影响的相关方。</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jc w:val="left"/>
              <w:textAlignment w:val="baseline"/>
              <w:rPr>
                <w:rFonts w:hint="eastAsia" w:ascii="宋体" w:hAnsi="宋体" w:cs="Arial"/>
                <w:spacing w:val="-6"/>
                <w:sz w:val="21"/>
                <w:szCs w:val="21"/>
                <w:lang w:val="en-US" w:eastAsia="zh-CN"/>
              </w:rPr>
            </w:pPr>
            <w:r>
              <w:rPr>
                <w:rFonts w:hint="eastAsia" w:ascii="宋体" w:hAnsi="宋体" w:cs="Arial"/>
                <w:spacing w:val="-6"/>
                <w:sz w:val="21"/>
                <w:szCs w:val="21"/>
              </w:rPr>
              <w:t>查看《相关方需求和期望</w:t>
            </w:r>
            <w:r>
              <w:rPr>
                <w:rFonts w:hint="eastAsia" w:ascii="宋体" w:hAnsi="宋体" w:cs="Arial"/>
                <w:spacing w:val="-6"/>
                <w:sz w:val="21"/>
                <w:szCs w:val="21"/>
                <w:lang w:val="en-US" w:eastAsia="zh-CN"/>
              </w:rPr>
              <w:t>记录</w:t>
            </w:r>
            <w:r>
              <w:rPr>
                <w:rFonts w:hint="eastAsia" w:ascii="宋体" w:hAnsi="宋体" w:cs="Arial"/>
                <w:spacing w:val="-6"/>
                <w:sz w:val="21"/>
                <w:szCs w:val="21"/>
              </w:rPr>
              <w:t>》表中列入了顾客、供方、员工、政府机构、审核机构等有关的相关方，对其有关信息进行了监视评审。在每年的管理评审前，由相关部门负责人进行识别并评估其适宜性，以便于持续满足相关方的需求和期望。</w:t>
            </w:r>
            <w:r>
              <w:rPr>
                <w:rFonts w:hint="eastAsia" w:ascii="宋体" w:hAnsi="宋体" w:cs="Arial"/>
                <w:spacing w:val="-6"/>
                <w:sz w:val="21"/>
                <w:szCs w:val="21"/>
                <w:lang w:val="en-US" w:eastAsia="zh-CN"/>
              </w:rPr>
              <w:t xml:space="preserve">  </w:t>
            </w:r>
          </w:p>
        </w:tc>
        <w:tc>
          <w:tcPr>
            <w:tcW w:w="1585" w:type="dxa"/>
          </w:tcPr>
          <w:p>
            <w:pPr>
              <w:keepNext w:val="0"/>
              <w:keepLines w:val="0"/>
              <w:pageBreakBefore w:val="0"/>
              <w:widowControl w:val="0"/>
              <w:kinsoku/>
              <w:wordWrap/>
              <w:overflowPunct/>
              <w:topLinePunct w:val="0"/>
              <w:autoSpaceDE/>
              <w:autoSpaceDN/>
              <w:bidi w:val="0"/>
              <w:adjustRightInd w:val="0"/>
              <w:snapToGrid w:val="0"/>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after="0" w:line="360" w:lineRule="auto"/>
            </w:pPr>
            <w:r>
              <w:rPr>
                <w:rFonts w:hint="eastAsia" w:ascii="宋体" w:hAnsi="宋体" w:cs="Arial"/>
                <w:spacing w:val="-6"/>
                <w:sz w:val="21"/>
                <w:szCs w:val="21"/>
              </w:rPr>
              <w:t>确定管理体系的范围</w:t>
            </w:r>
          </w:p>
        </w:tc>
        <w:tc>
          <w:tcPr>
            <w:tcW w:w="960" w:type="dxa"/>
          </w:tcPr>
          <w:p>
            <w:pPr>
              <w:keepNext w:val="0"/>
              <w:keepLines w:val="0"/>
              <w:pageBreakBefore w:val="0"/>
              <w:widowControl w:val="0"/>
              <w:kinsoku/>
              <w:wordWrap/>
              <w:overflowPunct/>
              <w:topLinePunct w:val="0"/>
              <w:autoSpaceDE/>
              <w:autoSpaceDN/>
              <w:bidi w:val="0"/>
              <w:adjustRightInd w:val="0"/>
              <w:snapToGrid w:val="0"/>
              <w:spacing w:after="0" w:line="360" w:lineRule="auto"/>
            </w:pPr>
            <w:r>
              <w:rPr>
                <w:rFonts w:hint="eastAsia" w:ascii="宋体" w:hAnsi="宋体" w:cs="Arial"/>
                <w:spacing w:val="-6"/>
                <w:sz w:val="21"/>
                <w:szCs w:val="21"/>
              </w:rPr>
              <w:t xml:space="preserve">E:4.3 </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rPr>
              <w:t>注册地址：</w:t>
            </w:r>
            <w:bookmarkStart w:id="2" w:name="注册地址"/>
            <w:r>
              <w:rPr>
                <w:rFonts w:hint="eastAsia" w:ascii="宋体" w:hAnsi="宋体" w:cs="Arial"/>
                <w:spacing w:val="-6"/>
                <w:sz w:val="21"/>
                <w:szCs w:val="21"/>
              </w:rPr>
              <w:t>甘肃省庆阳市西峰区岐黄大道21号世纪公馆写字楼5楼</w:t>
            </w:r>
            <w:bookmarkEnd w:id="2"/>
            <w:r>
              <w:rPr>
                <w:rFonts w:hint="eastAsia" w:ascii="宋体" w:hAnsi="宋体" w:cs="Arial"/>
                <w:spacing w:val="-6"/>
                <w:sz w:val="21"/>
                <w:szCs w:val="21"/>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rPr>
              <w:t>经营地址：甘肃省庆阳市西峰区岐黄大道21号世纪公馆写字楼5楼；</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rPr>
              <w:t>公司机构设置有：管理层、</w:t>
            </w:r>
            <w:r>
              <w:rPr>
                <w:rFonts w:hint="eastAsia" w:ascii="宋体" w:hAnsi="宋体" w:cs="Arial"/>
                <w:spacing w:val="-6"/>
                <w:sz w:val="21"/>
                <w:szCs w:val="21"/>
                <w:lang w:val="en-US" w:eastAsia="zh-CN"/>
              </w:rPr>
              <w:t>综合办公室</w:t>
            </w:r>
            <w:r>
              <w:rPr>
                <w:rFonts w:hint="eastAsia" w:ascii="宋体" w:hAnsi="宋体" w:cs="Arial"/>
                <w:spacing w:val="-6"/>
                <w:sz w:val="21"/>
                <w:szCs w:val="21"/>
              </w:rPr>
              <w:t>、</w:t>
            </w:r>
            <w:r>
              <w:rPr>
                <w:rFonts w:hint="eastAsia" w:ascii="宋体" w:hAnsi="宋体" w:cs="Arial"/>
                <w:spacing w:val="-6"/>
                <w:sz w:val="21"/>
                <w:szCs w:val="21"/>
                <w:lang w:val="en-US" w:eastAsia="zh-CN"/>
              </w:rPr>
              <w:t>项目部、市场管理部</w:t>
            </w:r>
            <w:r>
              <w:rPr>
                <w:rFonts w:hint="eastAsia" w:ascii="宋体" w:hAnsi="宋体" w:cs="Arial"/>
                <w:spacing w:val="-6"/>
                <w:sz w:val="21"/>
                <w:szCs w:val="21"/>
              </w:rPr>
              <w:t>等，组成管理体系组织机构。</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rPr>
              <w:t>管理体系范围：</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lang w:val="en-US" w:eastAsia="zh-CN"/>
              </w:rPr>
            </w:pPr>
            <w:bookmarkStart w:id="3" w:name="审核范围"/>
            <w:r>
              <w:rPr>
                <w:rFonts w:hint="eastAsia" w:ascii="宋体" w:hAnsi="宋体" w:cs="Arial"/>
                <w:spacing w:val="-6"/>
                <w:sz w:val="21"/>
                <w:szCs w:val="21"/>
              </w:rPr>
              <w:t>E：物业服务所涉及场所的相关环境管理活动</w:t>
            </w:r>
            <w:r>
              <w:rPr>
                <w:rFonts w:hint="eastAsia" w:ascii="宋体" w:hAnsi="宋体" w:cs="Arial"/>
                <w:spacing w:val="-6"/>
                <w:sz w:val="21"/>
                <w:szCs w:val="21"/>
                <w:lang w:eastAsia="zh-CN"/>
              </w:rPr>
              <w:t>。</w:t>
            </w:r>
            <w:bookmarkEnd w:id="3"/>
          </w:p>
        </w:tc>
        <w:tc>
          <w:tcPr>
            <w:tcW w:w="1585" w:type="dxa"/>
          </w:tcPr>
          <w:p>
            <w:pPr>
              <w:keepNext w:val="0"/>
              <w:keepLines w:val="0"/>
              <w:pageBreakBefore w:val="0"/>
              <w:widowControl w:val="0"/>
              <w:kinsoku/>
              <w:wordWrap/>
              <w:overflowPunct/>
              <w:topLinePunct w:val="0"/>
              <w:autoSpaceDE/>
              <w:autoSpaceDN/>
              <w:bidi w:val="0"/>
              <w:adjustRightInd w:val="0"/>
              <w:snapToGrid w:val="0"/>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after="0" w:line="360" w:lineRule="auto"/>
            </w:pPr>
            <w:r>
              <w:rPr>
                <w:rFonts w:hint="eastAsia" w:ascii="宋体" w:hAnsi="宋体" w:cs="Arial"/>
                <w:spacing w:val="-6"/>
                <w:sz w:val="21"/>
                <w:szCs w:val="21"/>
              </w:rPr>
              <w:t>环境管理体系及其过程</w:t>
            </w:r>
          </w:p>
        </w:tc>
        <w:tc>
          <w:tcPr>
            <w:tcW w:w="960" w:type="dxa"/>
          </w:tcPr>
          <w:p>
            <w:pPr>
              <w:keepNext w:val="0"/>
              <w:keepLines w:val="0"/>
              <w:pageBreakBefore w:val="0"/>
              <w:widowControl w:val="0"/>
              <w:kinsoku/>
              <w:wordWrap/>
              <w:overflowPunct/>
              <w:topLinePunct w:val="0"/>
              <w:autoSpaceDE/>
              <w:autoSpaceDN/>
              <w:bidi w:val="0"/>
              <w:adjustRightInd w:val="0"/>
              <w:snapToGrid w:val="0"/>
              <w:spacing w:after="0" w:line="360" w:lineRule="auto"/>
            </w:pPr>
            <w:r>
              <w:rPr>
                <w:rFonts w:hint="eastAsia" w:ascii="宋体" w:hAnsi="宋体" w:cs="Arial"/>
                <w:spacing w:val="-6"/>
                <w:sz w:val="21"/>
                <w:szCs w:val="21"/>
              </w:rPr>
              <w:t>E:4.4</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rPr>
              <w:t>经与总经理沟通，公司自2021年</w:t>
            </w:r>
            <w:r>
              <w:rPr>
                <w:rFonts w:hint="eastAsia"/>
                <w:lang w:val="en-US" w:eastAsia="zh-CN"/>
              </w:rPr>
              <w:t>5</w:t>
            </w:r>
            <w:r>
              <w:rPr>
                <w:rFonts w:hint="eastAsia"/>
              </w:rPr>
              <w:t>月</w:t>
            </w:r>
            <w:r>
              <w:rPr>
                <w:rFonts w:hint="eastAsia"/>
                <w:lang w:val="en-US" w:eastAsia="zh-CN"/>
              </w:rPr>
              <w:t>25</w:t>
            </w:r>
            <w:r>
              <w:rPr>
                <w:rFonts w:hint="eastAsia"/>
              </w:rPr>
              <w:t>日开始按照标准建立、实施运行管理体系，包括识别规定了各部门和各级人员</w:t>
            </w:r>
            <w:r>
              <w:rPr>
                <w:rFonts w:hint="eastAsia"/>
                <w:lang w:val="en-US" w:eastAsia="zh-CN"/>
              </w:rPr>
              <w:t>环境体系</w:t>
            </w:r>
            <w:r>
              <w:rPr>
                <w:rFonts w:hint="eastAsia"/>
              </w:rPr>
              <w:t xml:space="preserve">的职责和权限;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rPr>
              <w:t>为确保管理体系过程的有效运行和控制，对所需的准则和方法在相应的文件和程序中予以确认；提供了为实现</w:t>
            </w:r>
            <w:r>
              <w:rPr>
                <w:rFonts w:hint="eastAsia"/>
                <w:lang w:val="en-US" w:eastAsia="zh-CN"/>
              </w:rPr>
              <w:t>物业服务</w:t>
            </w:r>
            <w:r>
              <w:rPr>
                <w:rFonts w:hint="eastAsia"/>
              </w:rPr>
              <w:t xml:space="preserve">符合要求所需的资源和设施，包括为各部门配备有能力胜任工作的人员、提供适宜的工作环境和工作场所、为配备物业服务所需的基础设施等; </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jc w:val="left"/>
              <w:textAlignment w:val="baseline"/>
              <w:rPr>
                <w:rFonts w:hint="eastAsia" w:ascii="宋体" w:hAnsi="宋体" w:cs="Arial"/>
                <w:spacing w:val="-6"/>
                <w:sz w:val="21"/>
                <w:szCs w:val="21"/>
                <w:lang w:val="en-US" w:eastAsia="zh-CN"/>
              </w:rPr>
            </w:pPr>
            <w:r>
              <w:rPr>
                <w:rFonts w:hint="eastAsia"/>
              </w:rPr>
              <w:t>未发生变更，以确保实现这些过程的预期结果；改进了过程和管理体系。</w:t>
            </w:r>
          </w:p>
        </w:tc>
        <w:tc>
          <w:tcPr>
            <w:tcW w:w="1585" w:type="dxa"/>
          </w:tcPr>
          <w:p>
            <w:pPr>
              <w:keepNext w:val="0"/>
              <w:keepLines w:val="0"/>
              <w:pageBreakBefore w:val="0"/>
              <w:widowControl w:val="0"/>
              <w:kinsoku/>
              <w:wordWrap/>
              <w:overflowPunct/>
              <w:topLinePunct w:val="0"/>
              <w:autoSpaceDE/>
              <w:autoSpaceDN/>
              <w:bidi w:val="0"/>
              <w:adjustRightInd w:val="0"/>
              <w:snapToGrid w:val="0"/>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after="0" w:line="360" w:lineRule="auto"/>
            </w:pPr>
            <w:r>
              <w:rPr>
                <w:rFonts w:hint="eastAsia" w:ascii="宋体" w:hAnsi="宋体" w:cs="Arial"/>
                <w:spacing w:val="-6"/>
                <w:sz w:val="21"/>
                <w:szCs w:val="21"/>
              </w:rPr>
              <w:t>领导作用和承诺</w:t>
            </w:r>
          </w:p>
        </w:tc>
        <w:tc>
          <w:tcPr>
            <w:tcW w:w="960" w:type="dxa"/>
          </w:tcPr>
          <w:p>
            <w:pPr>
              <w:keepNext w:val="0"/>
              <w:keepLines w:val="0"/>
              <w:pageBreakBefore w:val="0"/>
              <w:widowControl w:val="0"/>
              <w:kinsoku/>
              <w:wordWrap/>
              <w:overflowPunct/>
              <w:topLinePunct w:val="0"/>
              <w:autoSpaceDE/>
              <w:autoSpaceDN/>
              <w:bidi w:val="0"/>
              <w:adjustRightInd w:val="0"/>
              <w:snapToGrid w:val="0"/>
              <w:spacing w:after="0" w:line="360" w:lineRule="auto"/>
            </w:pPr>
            <w:r>
              <w:rPr>
                <w:rFonts w:hint="eastAsia" w:ascii="宋体" w:hAnsi="宋体" w:cs="Arial"/>
                <w:spacing w:val="-6"/>
                <w:sz w:val="21"/>
                <w:szCs w:val="21"/>
              </w:rPr>
              <w:t>E:5.1</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rPr>
              <w:t>公司总经理及管理层将承诺做好以下工作：</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rPr>
              <w:t>----依据市场变化及发展方向及</w:t>
            </w:r>
            <w:r>
              <w:rPr>
                <w:rFonts w:hint="eastAsia" w:ascii="宋体" w:hAnsi="宋体" w:cs="Arial"/>
                <w:spacing w:val="-6"/>
                <w:sz w:val="21"/>
                <w:szCs w:val="21"/>
                <w:lang w:val="en-US" w:eastAsia="zh-CN"/>
              </w:rPr>
              <w:t>环境</w:t>
            </w:r>
            <w:r>
              <w:rPr>
                <w:rFonts w:hint="eastAsia" w:ascii="宋体" w:hAnsi="宋体" w:cs="Arial"/>
                <w:spacing w:val="-6"/>
                <w:sz w:val="21"/>
                <w:szCs w:val="21"/>
              </w:rPr>
              <w:t>法律法规及其它要求等制定公司适用的管理方针、管理目标；</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rPr>
              <w:t>---将</w:t>
            </w:r>
            <w:r>
              <w:rPr>
                <w:rFonts w:hint="eastAsia" w:ascii="宋体" w:hAnsi="宋体" w:cs="Arial"/>
                <w:spacing w:val="-6"/>
                <w:sz w:val="21"/>
                <w:szCs w:val="21"/>
                <w:lang w:val="en-US" w:eastAsia="zh-CN"/>
              </w:rPr>
              <w:t>环境</w:t>
            </w:r>
            <w:r>
              <w:rPr>
                <w:rFonts w:hint="eastAsia" w:ascii="宋体" w:hAnsi="宋体" w:cs="Arial"/>
                <w:spacing w:val="-6"/>
                <w:sz w:val="21"/>
                <w:szCs w:val="21"/>
              </w:rPr>
              <w:t>管理体系融入公司经营活动。</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rPr>
              <w:t>---在全公司促进使用过程方法和基于风险的思维。</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rPr>
              <w:t>---通过会议、培训、宣传、面谈等方式向公司各级传达和沟通有效的</w:t>
            </w:r>
            <w:r>
              <w:rPr>
                <w:rFonts w:hint="eastAsia" w:ascii="宋体" w:hAnsi="宋体" w:cs="Arial"/>
                <w:spacing w:val="-6"/>
                <w:sz w:val="21"/>
                <w:szCs w:val="21"/>
                <w:lang w:val="en-US" w:eastAsia="zh-CN"/>
              </w:rPr>
              <w:t>环境</w:t>
            </w:r>
            <w:r>
              <w:rPr>
                <w:rFonts w:hint="eastAsia" w:ascii="宋体" w:hAnsi="宋体" w:cs="Arial"/>
                <w:spacing w:val="-6"/>
                <w:sz w:val="21"/>
                <w:szCs w:val="21"/>
              </w:rPr>
              <w:t>管理并符合管理体系要求的重要性。</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rPr>
              <w:t>---促进、鼓励和支持员工为管理体系有效运行做出贡献；确保管理体系实现预期结果；</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rPr>
              <w:t>---开展管理评审及时解决管理工作中存在的有碍于方针、目标实现及顾客和相关方满意的环节，持续改进</w:t>
            </w:r>
            <w:r>
              <w:rPr>
                <w:rFonts w:hint="eastAsia" w:ascii="宋体" w:hAnsi="宋体" w:cs="Arial"/>
                <w:spacing w:val="-6"/>
                <w:sz w:val="21"/>
                <w:szCs w:val="21"/>
                <w:lang w:val="en-US" w:eastAsia="zh-CN"/>
              </w:rPr>
              <w:t>环境</w:t>
            </w:r>
            <w:r>
              <w:rPr>
                <w:rFonts w:hint="eastAsia" w:ascii="宋体" w:hAnsi="宋体" w:cs="Arial"/>
                <w:spacing w:val="-6"/>
                <w:sz w:val="21"/>
                <w:szCs w:val="21"/>
              </w:rPr>
              <w:t>体系。</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rPr>
              <w:t>---确保组织建立和实物业服务人员的写上和参与的过程。</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lang w:val="en-US" w:eastAsia="zh-CN"/>
              </w:rPr>
            </w:pPr>
            <w:r>
              <w:rPr>
                <w:rFonts w:hint="eastAsia" w:ascii="宋体" w:hAnsi="宋体" w:cs="Arial"/>
                <w:spacing w:val="-6"/>
                <w:sz w:val="21"/>
                <w:szCs w:val="21"/>
              </w:rPr>
              <w:t>最高管理者应证实其以顾客为关注焦点的领导作用和承诺，通过：</w:t>
            </w:r>
          </w:p>
        </w:tc>
        <w:tc>
          <w:tcPr>
            <w:tcW w:w="1585" w:type="dxa"/>
          </w:tcPr>
          <w:p>
            <w:pPr>
              <w:keepNext w:val="0"/>
              <w:keepLines w:val="0"/>
              <w:pageBreakBefore w:val="0"/>
              <w:widowControl w:val="0"/>
              <w:kinsoku/>
              <w:wordWrap/>
              <w:overflowPunct/>
              <w:topLinePunct w:val="0"/>
              <w:autoSpaceDE/>
              <w:autoSpaceDN/>
              <w:bidi w:val="0"/>
              <w:adjustRightInd w:val="0"/>
              <w:snapToGrid w:val="0"/>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after="0" w:line="360" w:lineRule="auto"/>
            </w:pPr>
            <w:r>
              <w:rPr>
                <w:rFonts w:hint="eastAsia" w:ascii="宋体" w:hAnsi="宋体" w:cs="Arial"/>
                <w:spacing w:val="-6"/>
                <w:sz w:val="21"/>
                <w:szCs w:val="21"/>
              </w:rPr>
              <w:t>环境方针</w:t>
            </w:r>
          </w:p>
        </w:tc>
        <w:tc>
          <w:tcPr>
            <w:tcW w:w="960" w:type="dxa"/>
          </w:tcPr>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r>
              <w:rPr>
                <w:rFonts w:hint="eastAsia" w:ascii="宋体" w:hAnsi="宋体" w:cs="Arial"/>
                <w:spacing w:val="-6"/>
                <w:sz w:val="21"/>
                <w:szCs w:val="21"/>
              </w:rPr>
              <w:t>E:5.2</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jc w:val="left"/>
              <w:rPr>
                <w:rFonts w:hint="eastAsia"/>
              </w:rPr>
            </w:pPr>
            <w:r>
              <w:rPr>
                <w:rFonts w:hint="eastAsia"/>
              </w:rPr>
              <w:t>通过观察认,该公司的管理方针经总经理批准，发布在管理手册中，特制定本公司的管理方针为：</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rPr>
              <w:t>管理方针：</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lang w:val="en-US" w:eastAsia="zh-CN"/>
              </w:rPr>
            </w:pPr>
            <w:r>
              <w:rPr>
                <w:rFonts w:hint="eastAsia"/>
                <w:lang w:val="en-US" w:eastAsia="zh-CN"/>
              </w:rPr>
              <w:t>科学管理，环境、职业健康安全服务，业主满意；环保领先，节能降耗，预防污染；</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lang w:val="en-US" w:eastAsia="zh-CN"/>
              </w:rPr>
              <w:t>以人为本，减少风险，保障健康；</w:t>
            </w:r>
            <w:r>
              <w:rPr>
                <w:rFonts w:hint="eastAsia"/>
              </w:rPr>
              <w:t>遵守法纪，全员参与，持续改进。</w:t>
            </w:r>
          </w:p>
          <w:p>
            <w:pPr>
              <w:keepNext w:val="0"/>
              <w:keepLines w:val="0"/>
              <w:pageBreakBefore w:val="0"/>
              <w:widowControl w:val="0"/>
              <w:kinsoku/>
              <w:wordWrap/>
              <w:overflowPunct/>
              <w:topLinePunct w:val="0"/>
              <w:autoSpaceDE/>
              <w:autoSpaceDN/>
              <w:bidi w:val="0"/>
              <w:adjustRightInd w:val="0"/>
              <w:snapToGrid w:val="0"/>
              <w:spacing w:after="0" w:line="360" w:lineRule="auto"/>
              <w:jc w:val="left"/>
              <w:rPr>
                <w:rFonts w:hint="eastAsia"/>
                <w:lang w:val="en-US" w:eastAsia="zh-CN"/>
              </w:rPr>
            </w:pPr>
            <w:r>
              <w:rPr>
                <w:rFonts w:hint="eastAsia"/>
              </w:rPr>
              <w:t>基本适宜，并得到实施和沟通，员工基本知道方针内涵。</w:t>
            </w:r>
          </w:p>
        </w:tc>
        <w:tc>
          <w:tcPr>
            <w:tcW w:w="1585" w:type="dxa"/>
          </w:tcPr>
          <w:p>
            <w:pPr>
              <w:keepNext w:val="0"/>
              <w:keepLines w:val="0"/>
              <w:pageBreakBefore w:val="0"/>
              <w:widowControl w:val="0"/>
              <w:kinsoku/>
              <w:wordWrap/>
              <w:overflowPunct/>
              <w:topLinePunct w:val="0"/>
              <w:autoSpaceDE/>
              <w:autoSpaceDN/>
              <w:bidi w:val="0"/>
              <w:adjustRightInd w:val="0"/>
              <w:snapToGrid w:val="0"/>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after="0" w:line="360" w:lineRule="auto"/>
            </w:pPr>
            <w:r>
              <w:rPr>
                <w:rFonts w:hint="eastAsia" w:ascii="宋体" w:hAnsi="宋体" w:cs="Arial"/>
                <w:spacing w:val="-6"/>
                <w:sz w:val="21"/>
                <w:szCs w:val="21"/>
              </w:rPr>
              <w:t>组织的岗位、职责和权限</w:t>
            </w:r>
          </w:p>
        </w:tc>
        <w:tc>
          <w:tcPr>
            <w:tcW w:w="960" w:type="dxa"/>
          </w:tcPr>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r>
              <w:rPr>
                <w:rFonts w:hint="eastAsia" w:ascii="宋体" w:hAnsi="宋体" w:cs="Arial"/>
                <w:spacing w:val="-6"/>
                <w:sz w:val="21"/>
                <w:szCs w:val="21"/>
              </w:rPr>
              <w:t>E:5.3</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jc w:val="left"/>
              <w:rPr>
                <w:rFonts w:hint="eastAsia" w:eastAsia="宋体"/>
                <w:lang w:eastAsia="zh-CN"/>
              </w:rPr>
            </w:pPr>
            <w:r>
              <w:rPr>
                <w:rFonts w:hint="eastAsia"/>
              </w:rPr>
              <w:t>公司在建立管理体系时，对各部门的职责权限进行了划分，在手册中确定了</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rPr>
              <w:t>公司组织机构图、职能分配表，在职责和权限中对各部门职责权限进行了规定，各部门基本清楚其</w:t>
            </w:r>
            <w:r>
              <w:rPr>
                <w:rFonts w:hint="eastAsia"/>
                <w:lang w:val="en-US" w:eastAsia="zh-CN"/>
              </w:rPr>
              <w:t>环境</w:t>
            </w:r>
            <w:r>
              <w:rPr>
                <w:rFonts w:hint="eastAsia"/>
              </w:rPr>
              <w:t>职责，文件描述职责与实际基本符合。</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lang w:val="en-US" w:eastAsia="zh-CN"/>
              </w:rPr>
            </w:pPr>
            <w:r>
              <w:rPr>
                <w:rFonts w:hint="eastAsia"/>
              </w:rPr>
              <w:t>公司任命</w:t>
            </w:r>
            <w:r>
              <w:rPr>
                <w:rFonts w:hint="eastAsia"/>
                <w:lang w:val="en-US" w:eastAsia="zh-CN"/>
              </w:rPr>
              <w:t>张鹏华</w:t>
            </w:r>
            <w:r>
              <w:rPr>
                <w:rFonts w:hint="eastAsia"/>
              </w:rPr>
              <w:t>为管理者代表</w:t>
            </w:r>
            <w:r>
              <w:rPr>
                <w:rFonts w:hint="eastAsia"/>
                <w:lang w:val="en-US" w:eastAsia="zh-CN"/>
              </w:rPr>
              <w:t>。</w:t>
            </w:r>
            <w:r>
              <w:rPr>
                <w:rFonts w:hint="eastAsia"/>
              </w:rPr>
              <w:t>与</w:t>
            </w:r>
            <w:r>
              <w:rPr>
                <w:rFonts w:hint="eastAsia"/>
                <w:lang w:val="en-US" w:eastAsia="zh-CN"/>
              </w:rPr>
              <w:t>张鹏华通话</w:t>
            </w:r>
            <w:r>
              <w:rPr>
                <w:rFonts w:hint="eastAsia"/>
              </w:rPr>
              <w:t>交谈，清楚自己的职责权限。</w:t>
            </w:r>
          </w:p>
        </w:tc>
        <w:tc>
          <w:tcPr>
            <w:tcW w:w="1585" w:type="dxa"/>
          </w:tcPr>
          <w:p>
            <w:pPr>
              <w:keepNext w:val="0"/>
              <w:keepLines w:val="0"/>
              <w:pageBreakBefore w:val="0"/>
              <w:widowControl w:val="0"/>
              <w:kinsoku/>
              <w:wordWrap/>
              <w:overflowPunct/>
              <w:topLinePunct w:val="0"/>
              <w:autoSpaceDE/>
              <w:autoSpaceDN/>
              <w:bidi w:val="0"/>
              <w:adjustRightInd w:val="0"/>
              <w:snapToGrid w:val="0"/>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after="0" w:line="360" w:lineRule="auto"/>
            </w:pPr>
            <w:r>
              <w:rPr>
                <w:rFonts w:hint="eastAsia" w:ascii="宋体" w:hAnsi="宋体" w:cs="Arial"/>
                <w:spacing w:val="-6"/>
                <w:sz w:val="21"/>
                <w:szCs w:val="21"/>
              </w:rPr>
              <w:t>目标及其实现的策划</w:t>
            </w:r>
          </w:p>
        </w:tc>
        <w:tc>
          <w:tcPr>
            <w:tcW w:w="960" w:type="dxa"/>
          </w:tcPr>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r>
              <w:rPr>
                <w:rFonts w:hint="eastAsia" w:ascii="宋体" w:hAnsi="宋体" w:cs="Arial"/>
                <w:spacing w:val="-6"/>
                <w:sz w:val="21"/>
                <w:szCs w:val="21"/>
              </w:rPr>
              <w:t>E:6.2</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jc w:val="left"/>
              <w:rPr>
                <w:rFonts w:hint="eastAsia"/>
              </w:rPr>
            </w:pPr>
            <w:r>
              <w:rPr>
                <w:rFonts w:hint="eastAsia"/>
              </w:rPr>
              <w:t>该公司根据管理方针制定总</w:t>
            </w:r>
            <w:r>
              <w:rPr>
                <w:rFonts w:hint="eastAsia"/>
                <w:lang w:val="en-US" w:eastAsia="zh-CN"/>
              </w:rPr>
              <w:t>环境</w:t>
            </w:r>
            <w:r>
              <w:rPr>
                <w:rFonts w:hint="eastAsia"/>
              </w:rPr>
              <w:t>目标.</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rPr>
              <w:t>公司质量总目标：</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lang w:val="en-US" w:eastAsia="zh-CN"/>
              </w:rPr>
              <w:t>---固体废弃物分类收集、处置率100%；</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rPr>
              <w:t>公司的上述目标与方针保持了一致，包括了满足服务要求及增强顾客满意所需的内容，可以测量.已将上述目标分解至所需的相关职能、层次和过程，基本能结合各部门工作实际，基本符合要求；各职能部门、层次和过程的目标的策划和实现情况，详见各部门6.2审核记录。</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lang w:val="en-US" w:eastAsia="zh-CN"/>
              </w:rPr>
            </w:pPr>
            <w:r>
              <w:rPr>
                <w:rFonts w:hint="eastAsia"/>
              </w:rPr>
              <w:t>目标可测量，与公司方针一致；传递有目标、指标的考核记录，经确认目标完成适宜.</w:t>
            </w:r>
          </w:p>
        </w:tc>
        <w:tc>
          <w:tcPr>
            <w:tcW w:w="1585" w:type="dxa"/>
          </w:tcPr>
          <w:p>
            <w:pPr>
              <w:keepNext w:val="0"/>
              <w:keepLines w:val="0"/>
              <w:pageBreakBefore w:val="0"/>
              <w:widowControl w:val="0"/>
              <w:kinsoku/>
              <w:wordWrap/>
              <w:overflowPunct/>
              <w:topLinePunct w:val="0"/>
              <w:autoSpaceDE/>
              <w:autoSpaceDN/>
              <w:bidi w:val="0"/>
              <w:adjustRightInd w:val="0"/>
              <w:snapToGrid w:val="0"/>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pPr>
            <w:r>
              <w:rPr>
                <w:rFonts w:hint="eastAsia" w:ascii="宋体" w:hAnsi="宋体" w:cs="Arial"/>
                <w:spacing w:val="-6"/>
                <w:sz w:val="21"/>
                <w:szCs w:val="21"/>
              </w:rPr>
              <w:t>资源</w:t>
            </w:r>
          </w:p>
        </w:tc>
        <w:tc>
          <w:tcPr>
            <w:tcW w:w="960" w:type="dxa"/>
          </w:tcPr>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r>
              <w:rPr>
                <w:rFonts w:hint="eastAsia" w:ascii="宋体" w:hAnsi="宋体" w:cs="Arial"/>
                <w:spacing w:val="-6"/>
                <w:sz w:val="21"/>
                <w:szCs w:val="21"/>
              </w:rPr>
              <w:t>E:7.1</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rPr>
              <w:t>该公司现有员工</w:t>
            </w:r>
            <w:r>
              <w:rPr>
                <w:rFonts w:hint="eastAsia"/>
                <w:lang w:val="en-US" w:eastAsia="zh-CN"/>
              </w:rPr>
              <w:t>43</w:t>
            </w:r>
            <w:r>
              <w:rPr>
                <w:rFonts w:hint="eastAsia"/>
              </w:rPr>
              <w:t>人。</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rPr>
              <w:t>公司主要设备：对讲机，尘推车，吸尘器，扫地机，</w:t>
            </w:r>
            <w:r>
              <w:rPr>
                <w:rFonts w:hint="eastAsia"/>
                <w:lang w:val="en-US" w:eastAsia="zh-CN"/>
              </w:rPr>
              <w:t>扫地车等</w:t>
            </w:r>
            <w:r>
              <w:rPr>
                <w:rFonts w:hint="eastAsia"/>
              </w:rPr>
              <w:t>办公及维修工具设备</w:t>
            </w:r>
            <w:r>
              <w:rPr>
                <w:rFonts w:hint="eastAsia"/>
                <w:lang w:val="en-US" w:eastAsia="zh-CN"/>
              </w:rPr>
              <w:t>及灭火器、消防栓、消防桶等</w:t>
            </w:r>
            <w:r>
              <w:rPr>
                <w:rFonts w:hint="eastAsia"/>
              </w:rPr>
              <w:t>适宜。</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rPr>
              <w:t>主要办公设备有电脑、打印机、复印件、饮水机等设备适宜，能够满足现有产品办公的需求。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lang w:val="en-US" w:eastAsia="zh-CN"/>
              </w:rPr>
            </w:pPr>
            <w:r>
              <w:rPr>
                <w:rFonts w:hint="eastAsia"/>
              </w:rPr>
              <w:t>企业为实施、保持</w:t>
            </w:r>
            <w:r>
              <w:rPr>
                <w:rFonts w:hint="eastAsia"/>
                <w:lang w:val="en-US" w:eastAsia="zh-CN"/>
              </w:rPr>
              <w:t>EMS</w:t>
            </w:r>
            <w:r>
              <w:rPr>
                <w:rFonts w:hint="eastAsia"/>
              </w:rPr>
              <w:t>的正常运行和持续改进其有效性，以及不断增强顾客的满意度，对所需的人力资源，基础设施和工作环境给予充分的传递，目前，企业资源配置满足公司物业服务需求，基本可以保证办公活动的正常运行。</w:t>
            </w:r>
          </w:p>
        </w:tc>
        <w:tc>
          <w:tcPr>
            <w:tcW w:w="1585" w:type="dxa"/>
          </w:tcPr>
          <w:p>
            <w:pPr>
              <w:keepNext w:val="0"/>
              <w:keepLines w:val="0"/>
              <w:pageBreakBefore w:val="0"/>
              <w:widowControl w:val="0"/>
              <w:kinsoku/>
              <w:wordWrap/>
              <w:overflowPunct/>
              <w:topLinePunct w:val="0"/>
              <w:autoSpaceDE/>
              <w:autoSpaceDN/>
              <w:bidi w:val="0"/>
              <w:adjustRightInd w:val="0"/>
              <w:snapToGrid w:val="0"/>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pPr>
            <w:r>
              <w:rPr>
                <w:rFonts w:hint="eastAsia" w:ascii="宋体" w:hAnsi="宋体" w:cs="Arial"/>
                <w:spacing w:val="-6"/>
                <w:sz w:val="21"/>
                <w:szCs w:val="21"/>
              </w:rPr>
              <w:t>外部沟通</w:t>
            </w:r>
          </w:p>
        </w:tc>
        <w:tc>
          <w:tcPr>
            <w:tcW w:w="960" w:type="dxa"/>
          </w:tcPr>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r>
              <w:rPr>
                <w:rFonts w:hint="eastAsia" w:ascii="宋体" w:hAnsi="宋体" w:cs="Arial"/>
                <w:spacing w:val="-6"/>
                <w:sz w:val="21"/>
                <w:szCs w:val="21"/>
              </w:rPr>
              <w:t>E:7.4.3</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lang w:val="en-US" w:eastAsia="zh-CN"/>
              </w:rPr>
            </w:pPr>
            <w:r>
              <w:rPr>
                <w:rFonts w:hint="eastAsia"/>
                <w:lang w:val="en-US" w:eastAsia="zh-CN"/>
              </w:rPr>
              <w:t>经沟通，公司内部和外部沟通，沟通内容：公司的管理方针，管理体系运行情况；对获取和更新的法规及其他要求；及时收集、整理传递来自各个方面的环境信息，物业服务；绩效测量、资源需求；相关方需求和期望的变化；对外部相关方提出的抱怨申诉等。</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lang w:val="en-US" w:eastAsia="zh-CN"/>
              </w:rPr>
            </w:pPr>
            <w:r>
              <w:rPr>
                <w:rFonts w:hint="eastAsia"/>
                <w:lang w:val="en-US" w:eastAsia="zh-CN"/>
              </w:rPr>
              <w:t>采用多种沟通途径：口头、会议、文件发放、培训、电话通讯方式等。</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lang w:val="en-US" w:eastAsia="zh-CN"/>
              </w:rPr>
            </w:pPr>
            <w:r>
              <w:rPr>
                <w:rFonts w:hint="eastAsia"/>
                <w:lang w:val="en-US" w:eastAsia="zh-CN"/>
              </w:rPr>
              <w:t>沟通基本畅通，目截止目前未发生由于沟通不到位而影响工作的情况。</w:t>
            </w:r>
          </w:p>
        </w:tc>
        <w:tc>
          <w:tcPr>
            <w:tcW w:w="1585" w:type="dxa"/>
          </w:tcPr>
          <w:p>
            <w:pPr>
              <w:keepNext w:val="0"/>
              <w:keepLines w:val="0"/>
              <w:pageBreakBefore w:val="0"/>
              <w:widowControl w:val="0"/>
              <w:kinsoku/>
              <w:wordWrap/>
              <w:overflowPunct/>
              <w:topLinePunct w:val="0"/>
              <w:autoSpaceDE/>
              <w:autoSpaceDN/>
              <w:bidi w:val="0"/>
              <w:adjustRightInd w:val="0"/>
              <w:snapToGrid w:val="0"/>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pPr>
            <w:r>
              <w:rPr>
                <w:rFonts w:hint="eastAsia" w:ascii="宋体" w:hAnsi="宋体" w:cs="Arial"/>
                <w:spacing w:val="-6"/>
                <w:sz w:val="21"/>
                <w:szCs w:val="21"/>
              </w:rPr>
              <w:t>管理评审</w:t>
            </w:r>
          </w:p>
        </w:tc>
        <w:tc>
          <w:tcPr>
            <w:tcW w:w="960" w:type="dxa"/>
          </w:tcPr>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r>
              <w:rPr>
                <w:rFonts w:hint="eastAsia" w:ascii="宋体" w:hAnsi="宋体" w:cs="Arial"/>
                <w:spacing w:val="-6"/>
                <w:sz w:val="21"/>
                <w:szCs w:val="21"/>
              </w:rPr>
              <w:t>E:9.3</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rPr>
              <w:t xml:space="preserve">该公司于2021年10月15日在会议室进行管理评审会议，提供有2021年管理评审计划、签到表、管理评审会议纪要、管理评审报告等记录。 </w:t>
            </w:r>
          </w:p>
          <w:p>
            <w:pPr>
              <w:keepNext w:val="0"/>
              <w:keepLines w:val="0"/>
              <w:pageBreakBefore w:val="0"/>
              <w:widowControl w:val="0"/>
              <w:kinsoku/>
              <w:wordWrap/>
              <w:overflowPunct/>
              <w:topLinePunct w:val="0"/>
              <w:autoSpaceDE/>
              <w:autoSpaceDN/>
              <w:bidi w:val="0"/>
              <w:adjustRightInd w:val="0"/>
              <w:snapToGrid w:val="0"/>
              <w:spacing w:after="0" w:line="360" w:lineRule="auto"/>
              <w:jc w:val="left"/>
              <w:rPr>
                <w:rFonts w:hint="eastAsia"/>
              </w:rPr>
            </w:pPr>
            <w:r>
              <w:rPr>
                <w:rFonts w:hint="eastAsia"/>
              </w:rPr>
              <w:t>抽查《2021年管理评审计划》和《2021年管理评审报告》</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default"/>
                <w:lang w:val="en-US" w:eastAsia="zh-CN"/>
              </w:rPr>
            </w:pPr>
            <w:r>
              <w:rPr>
                <w:rFonts w:hint="eastAsia"/>
              </w:rPr>
              <w:t>评审会议时间:2021年10月15日    地点：公司会议室  主持人：</w:t>
            </w:r>
            <w:r>
              <w:rPr>
                <w:rFonts w:hint="eastAsia"/>
                <w:lang w:val="en-US" w:eastAsia="zh-CN"/>
              </w:rPr>
              <w:t>王新明</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rPr>
              <w:t>管理评审目的：确保公司</w:t>
            </w:r>
            <w:r>
              <w:rPr>
                <w:rFonts w:hint="eastAsia"/>
                <w:lang w:eastAsia="zh-CN"/>
              </w:rPr>
              <w:t>环境</w:t>
            </w:r>
            <w:r>
              <w:rPr>
                <w:rFonts w:hint="eastAsia"/>
              </w:rPr>
              <w:t>方针、目标和指标及</w:t>
            </w:r>
            <w:r>
              <w:rPr>
                <w:rFonts w:hint="eastAsia"/>
                <w:lang w:eastAsia="zh-CN"/>
              </w:rPr>
              <w:t>环境</w:t>
            </w:r>
            <w:r>
              <w:rPr>
                <w:rFonts w:hint="eastAsia"/>
              </w:rPr>
              <w:t>管理体系持续的适宜性、充分性和有效性。</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rPr>
              <w:t>参加评审的部门及人员：总经理、管代、各部门主管及项目经理等。</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rPr>
              <w:t xml:space="preserve">分别对评审内容及各部门评审准备工作要求等进行了详细描述。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rPr>
              <w:t>管理评审以内部</w:t>
            </w:r>
            <w:r>
              <w:rPr>
                <w:rFonts w:hint="eastAsia"/>
                <w:lang w:eastAsia="zh-CN"/>
              </w:rPr>
              <w:t>环境</w:t>
            </w:r>
            <w:r>
              <w:rPr>
                <w:rFonts w:hint="eastAsia"/>
              </w:rPr>
              <w:t>管理体系审核情况报告，公司方针、目标和指标、管理方案贯彻实施情况报告，各部门目标和指标完成情况统计分析报告，</w:t>
            </w:r>
            <w:r>
              <w:rPr>
                <w:rFonts w:hint="eastAsia"/>
                <w:lang w:eastAsia="zh-CN"/>
              </w:rPr>
              <w:t>环境</w:t>
            </w:r>
            <w:r>
              <w:rPr>
                <w:rFonts w:hint="eastAsia"/>
              </w:rPr>
              <w:t>管理体系建立与实施情况报告，纠正和预防措施实施情况报告，风险评价和风险控制状况总结报告，环境因素识别与评价总结报告，合规性评价报告等作为管理评审内容的输入，以上内容可通过会上口头发言及工作总结、汇报等形式体现。</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rPr>
              <w:t>管理评审结论：</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rPr>
              <w:t>---公司</w:t>
            </w:r>
            <w:r>
              <w:rPr>
                <w:rFonts w:hint="eastAsia"/>
                <w:lang w:eastAsia="zh-CN"/>
              </w:rPr>
              <w:t>环境</w:t>
            </w:r>
            <w:r>
              <w:rPr>
                <w:rFonts w:hint="eastAsia"/>
              </w:rPr>
              <w:t>方针、目标和指标是适宜的；</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rPr>
              <w:t>---公司</w:t>
            </w:r>
            <w:r>
              <w:rPr>
                <w:rFonts w:hint="eastAsia"/>
                <w:lang w:eastAsia="zh-CN"/>
              </w:rPr>
              <w:t>环境</w:t>
            </w:r>
            <w:r>
              <w:rPr>
                <w:rFonts w:hint="eastAsia"/>
              </w:rPr>
              <w:t>管理体系是适宜的、充分的和有效的。</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rPr>
              <w:t>管理评审提出了需要改进的措施，经确认管理评审改进措施验证有效。</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lang w:val="en-US" w:eastAsia="zh-CN"/>
              </w:rPr>
            </w:pPr>
            <w:r>
              <w:rPr>
                <w:rFonts w:hint="eastAsia"/>
              </w:rPr>
              <w:t>管理评审基本符合要求。</w:t>
            </w:r>
          </w:p>
        </w:tc>
        <w:tc>
          <w:tcPr>
            <w:tcW w:w="1585" w:type="dxa"/>
          </w:tcPr>
          <w:p>
            <w:pPr>
              <w:keepNext w:val="0"/>
              <w:keepLines w:val="0"/>
              <w:pageBreakBefore w:val="0"/>
              <w:widowControl w:val="0"/>
              <w:kinsoku/>
              <w:wordWrap/>
              <w:overflowPunct/>
              <w:topLinePunct w:val="0"/>
              <w:autoSpaceDE/>
              <w:autoSpaceDN/>
              <w:bidi w:val="0"/>
              <w:adjustRightInd w:val="0"/>
              <w:snapToGrid w:val="0"/>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pPr>
            <w:r>
              <w:rPr>
                <w:rFonts w:hint="eastAsia" w:ascii="宋体" w:hAnsi="宋体" w:cs="Arial"/>
                <w:spacing w:val="-6"/>
                <w:sz w:val="21"/>
                <w:szCs w:val="21"/>
              </w:rPr>
              <w:t>改进</w:t>
            </w:r>
          </w:p>
        </w:tc>
        <w:tc>
          <w:tcPr>
            <w:tcW w:w="960" w:type="dxa"/>
          </w:tcPr>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cs="Arial"/>
                <w:spacing w:val="-6"/>
                <w:sz w:val="21"/>
                <w:szCs w:val="21"/>
              </w:rPr>
            </w:pPr>
            <w:bookmarkStart w:id="4" w:name="_GoBack"/>
            <w:bookmarkEnd w:id="4"/>
            <w:r>
              <w:rPr>
                <w:rFonts w:hint="eastAsia" w:ascii="宋体" w:hAnsi="宋体" w:cs="Arial"/>
                <w:spacing w:val="-6"/>
                <w:sz w:val="21"/>
                <w:szCs w:val="21"/>
              </w:rPr>
              <w:t>E:10</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rPr>
              <w:t>经沟通，总经理通过建立管理方针、目标，并鼓励员工提合理化建议，营造了一个激励改进的氛围，通过</w:t>
            </w:r>
            <w:r>
              <w:rPr>
                <w:rFonts w:hint="eastAsia"/>
                <w:lang w:val="en-US" w:eastAsia="zh-CN"/>
              </w:rPr>
              <w:t>环境</w:t>
            </w:r>
            <w:r>
              <w:rPr>
                <w:rFonts w:hint="eastAsia"/>
              </w:rPr>
              <w:t>管理目标的建立与考核，明确了改进、努力的方向，通过内审、管理评审、分析和评价、与实施纠正和纠正措施，纠正、避免和减少非预期情况给公司带来的</w:t>
            </w:r>
            <w:r>
              <w:rPr>
                <w:rFonts w:hint="eastAsia"/>
                <w:lang w:val="en-US" w:eastAsia="zh-CN"/>
              </w:rPr>
              <w:t>环境</w:t>
            </w:r>
            <w:r>
              <w:rPr>
                <w:rFonts w:hint="eastAsia"/>
              </w:rPr>
              <w:t>不利影响，改进管理体系的绩效和有效性，以满足顾客要求并增强顾客满意。</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lang w:val="en-US" w:eastAsia="zh-CN"/>
              </w:rPr>
            </w:pPr>
            <w:r>
              <w:rPr>
                <w:rFonts w:hint="eastAsia"/>
              </w:rPr>
              <w:t>经沟通，公司主要按策划的管理手册、程序文件等实施运行，主要采用管理评审、分析和评价等来实现对管理体系的改进，另外主要通过日常工作中发现的问题及时予以调整解决来实现，以达到持续改进的目的。</w:t>
            </w:r>
          </w:p>
        </w:tc>
        <w:tc>
          <w:tcPr>
            <w:tcW w:w="1585" w:type="dxa"/>
          </w:tcPr>
          <w:p>
            <w:pPr>
              <w:keepNext w:val="0"/>
              <w:keepLines w:val="0"/>
              <w:pageBreakBefore w:val="0"/>
              <w:widowControl w:val="0"/>
              <w:kinsoku/>
              <w:wordWrap/>
              <w:overflowPunct/>
              <w:topLinePunct w:val="0"/>
              <w:autoSpaceDE/>
              <w:autoSpaceDN/>
              <w:bidi w:val="0"/>
              <w:adjustRightInd w:val="0"/>
              <w:snapToGrid w:val="0"/>
              <w:spacing w:after="0" w:line="360" w:lineRule="auto"/>
            </w:pPr>
          </w:p>
        </w:tc>
      </w:tr>
    </w:tbl>
    <w:p>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A52E31"/>
    <w:rsid w:val="040925D5"/>
    <w:rsid w:val="04D94C69"/>
    <w:rsid w:val="05465FAD"/>
    <w:rsid w:val="0EDC4CD8"/>
    <w:rsid w:val="11A949BF"/>
    <w:rsid w:val="124A4911"/>
    <w:rsid w:val="18211409"/>
    <w:rsid w:val="1FCC0568"/>
    <w:rsid w:val="2022626C"/>
    <w:rsid w:val="220F77B8"/>
    <w:rsid w:val="274D3BF8"/>
    <w:rsid w:val="3BBE325B"/>
    <w:rsid w:val="44483C79"/>
    <w:rsid w:val="4C8278F8"/>
    <w:rsid w:val="4DB269B8"/>
    <w:rsid w:val="4FBF4CB5"/>
    <w:rsid w:val="52422F04"/>
    <w:rsid w:val="6BAB129B"/>
    <w:rsid w:val="6F2954AD"/>
    <w:rsid w:val="78D03908"/>
    <w:rsid w:val="7D7F7A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仿宋_GB2312"/>
      <w:sz w:val="24"/>
      <w:szCs w:val="20"/>
    </w:rPr>
  </w:style>
  <w:style w:type="paragraph" w:customStyle="1" w:styleId="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2021-11-10T01:58:22Z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