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张明科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2021年11月0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6.1.2环境因素辨识与评价、6.2环境目标、6.1.4措施的策划、8.1运行策划和控制；</w:t>
            </w:r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执行《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环境因素的识别与评价控制程序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both"/>
              <w:rPr>
                <w:rFonts w:hint="eastAsia"/>
                <w:b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</w:rPr>
              <w:t>提供《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市场管理部</w:t>
            </w:r>
            <w:r>
              <w:rPr>
                <w:rFonts w:hint="eastAsia"/>
                <w:b w:val="0"/>
                <w:kern w:val="2"/>
                <w:sz w:val="21"/>
                <w:szCs w:val="21"/>
              </w:rPr>
              <w:t>环境因素识别及评价表》，办公用纸、办公区生活用水、办公区用电、复印机废墨盒、复印机废粉、打印机废硒鼓、打印机废色带、废电池废计算器、</w:t>
            </w:r>
            <w:bookmarkStart w:id="6" w:name="_GoBack"/>
            <w:bookmarkEnd w:id="6"/>
            <w:r>
              <w:rPr>
                <w:rFonts w:hint="eastAsia"/>
                <w:b w:val="0"/>
                <w:kern w:val="2"/>
                <w:sz w:val="21"/>
                <w:szCs w:val="21"/>
              </w:rPr>
              <w:t>废涂改液瓶、废药品、口罩、一般生活垃圾、空调、电脑、线路老化、汽车尾气的排放、汽油的消耗、噪音、生活垃圾的产生、电、油能消耗、物品报废、包装废弃物、环境因素、电话、网络、固废处理、医用口罩或一次性口罩的废弃、消毒液包装瓶的废弃、医用酒精等易燃品遇明火等项。识别未考虑产品的生命周期，口头交流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提供《重要环境因素清单》，其中涉及项目部的重要环境因素：固体废弃物排放，火灾。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编制：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李敏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审批：</w:t>
            </w:r>
            <w:r>
              <w:rPr>
                <w:rFonts w:hint="eastAsia"/>
                <w:lang w:val="en-US" w:eastAsia="zh-CN"/>
              </w:rPr>
              <w:t>张鹏华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日期：2021.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5.25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评价基本合理。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环境目标</w:t>
            </w:r>
          </w:p>
        </w:tc>
        <w:tc>
          <w:tcPr>
            <w:tcW w:w="960" w:type="dxa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本部门环境目标：</w:t>
            </w:r>
            <w:r>
              <w:rPr>
                <w:rFonts w:hint="eastAsia"/>
                <w:szCs w:val="21"/>
              </w:rPr>
              <w:t>固体废弃物分类收集、处置率100%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目标可测量，与公司方针一致；传递有目标、指标的考核记录，经确认目标完成适宜，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内容基本符合要求。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通话沟通了解公司根据环境因素辨识评价结果，传递了重要环境因素清单明确了控制措施，通过具体的措施进行有效控制：目标管理方案、运行控制、应急预案、日常检查等。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公司制定了法律、法规及其它要求获取程序及合规性评价控制程序等，每年对公司适用的合规义务进行识别更新并定期评价、检查。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经评价公司策划的措施基本能够满足风险和机遇应对需要，能够与识别的风险和机遇对产品符合性的潜在影响相适应，基本满足标准合规性评价控制的要求。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公司制定了相关运行策划和控制文件，在办公活动中遵守公司的相关环境的控制程序和管理规定要求。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◆传递有《环境因素识别及评价表》识别涉及办公活动环境因素，包括电源消耗、固体废物排放等。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◆应急预案：传递了火灾、触电事故应急救援应急预案、火灾应急演练记录、触电应急演练报告等。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◆固废的处置：对办公区域内产生的废弃物进行分类管理，加强监督检查工作并加强员工培训等，传递有</w:t>
            </w:r>
            <w:bookmarkStart w:id="1" w:name="_Toc158175697"/>
            <w:bookmarkStart w:id="2" w:name="_Toc158174826"/>
            <w:bookmarkStart w:id="3" w:name="_Toc122960257"/>
            <w:bookmarkStart w:id="4" w:name="_Toc123617473"/>
            <w:bookmarkStart w:id="5" w:name="_Toc122959966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废弃物分类处理统计表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◆办公用的资源：公司日常用纸采用正反两面用，以减少不必要的浪费，对于水电采取随手关灯，使用节能灯泡，并已经规定节能降耗等。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◆运行检查：定期对办公区域的环境进行了检查，传递了办公场所环境检查记录等，公司为抗击疫情，为工作人员均戴口罩和手套工作。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◆财务环境资金投入：支出项目有劳保用品、保安器具、灭火器灌装、员工保险、防疫用品等费用。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运行控制基本满足要求。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2FB2"/>
    <w:rsid w:val="00C97D07"/>
    <w:rsid w:val="031C411E"/>
    <w:rsid w:val="040925D5"/>
    <w:rsid w:val="0EDC4CD8"/>
    <w:rsid w:val="11A6352A"/>
    <w:rsid w:val="11A949BF"/>
    <w:rsid w:val="15555675"/>
    <w:rsid w:val="18211409"/>
    <w:rsid w:val="1D905FFB"/>
    <w:rsid w:val="21C62362"/>
    <w:rsid w:val="220F77B8"/>
    <w:rsid w:val="223D123A"/>
    <w:rsid w:val="2591153D"/>
    <w:rsid w:val="274D3BF8"/>
    <w:rsid w:val="36FD3AD0"/>
    <w:rsid w:val="373B6744"/>
    <w:rsid w:val="39990E64"/>
    <w:rsid w:val="3B2F38B5"/>
    <w:rsid w:val="3C3F0D8A"/>
    <w:rsid w:val="3FB75773"/>
    <w:rsid w:val="4001285D"/>
    <w:rsid w:val="44483C79"/>
    <w:rsid w:val="45120638"/>
    <w:rsid w:val="461A4F64"/>
    <w:rsid w:val="46D93051"/>
    <w:rsid w:val="4D52695A"/>
    <w:rsid w:val="4DB269B8"/>
    <w:rsid w:val="4FA3484C"/>
    <w:rsid w:val="54055B67"/>
    <w:rsid w:val="5FBA69E2"/>
    <w:rsid w:val="65465C02"/>
    <w:rsid w:val="6F2954AD"/>
    <w:rsid w:val="75F66E40"/>
    <w:rsid w:val="77F90929"/>
    <w:rsid w:val="7D7F7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jc w:val="center"/>
      <w:outlineLvl w:val="0"/>
    </w:pPr>
    <w:rPr>
      <w:b/>
      <w:kern w:val="44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widowControl/>
      <w:adjustRightInd w:val="0"/>
      <w:snapToGrid w:val="0"/>
      <w:spacing w:after="0"/>
      <w:ind w:left="0" w:leftChars="0" w:firstLine="210" w:firstLineChars="200"/>
      <w:jc w:val="left"/>
    </w:pPr>
    <w:rPr>
      <w:rFonts w:ascii="Tahoma" w:hAnsi="Tahoma" w:eastAsia="微软雅黑"/>
      <w:kern w:val="0"/>
      <w:sz w:val="24"/>
      <w:szCs w:val="22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2021-11-10T03:42:51Z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