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管理体系远程审核记录表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115"/>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005" w:type="dxa"/>
            <w:vMerge w:val="restart"/>
            <w:vAlign w:val="center"/>
          </w:tcPr>
          <w:p>
            <w:pPr>
              <w:spacing w:before="120"/>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过程与活动、</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抽样计划</w:t>
            </w:r>
          </w:p>
        </w:tc>
        <w:tc>
          <w:tcPr>
            <w:tcW w:w="1115"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条款</w:t>
            </w:r>
          </w:p>
        </w:tc>
        <w:tc>
          <w:tcPr>
            <w:tcW w:w="1069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受审核部门：</w:t>
            </w:r>
            <w:r>
              <w:rPr>
                <w:rFonts w:hint="eastAsia" w:ascii="华文楷体" w:hAnsi="华文楷体" w:eastAsia="华文楷体" w:cs="华文楷体"/>
                <w:sz w:val="24"/>
                <w:szCs w:val="24"/>
                <w:lang w:val="en-US" w:eastAsia="zh-CN"/>
              </w:rPr>
              <w:t xml:space="preserve">财务部 </w:t>
            </w:r>
            <w:r>
              <w:rPr>
                <w:rFonts w:hint="eastAsia" w:ascii="华文楷体" w:hAnsi="华文楷体" w:eastAsia="华文楷体" w:cs="华文楷体"/>
                <w:sz w:val="24"/>
                <w:szCs w:val="24"/>
              </w:rPr>
              <w:t>主管领导：</w:t>
            </w:r>
            <w:r>
              <w:rPr>
                <w:rFonts w:hint="eastAsia" w:ascii="华文楷体" w:hAnsi="华文楷体" w:eastAsia="华文楷体" w:cs="华文楷体"/>
                <w:color w:val="000000"/>
                <w:sz w:val="24"/>
                <w:szCs w:val="24"/>
                <w:lang w:val="en-US" w:eastAsia="zh-CN"/>
              </w:rPr>
              <w:t>侯磊</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陪同人员：</w:t>
            </w:r>
            <w:r>
              <w:rPr>
                <w:rFonts w:hint="eastAsia" w:ascii="华文楷体" w:hAnsi="华文楷体" w:eastAsia="华文楷体" w:cs="华文楷体"/>
                <w:color w:val="000000"/>
                <w:sz w:val="24"/>
                <w:szCs w:val="24"/>
                <w:lang w:val="en-US" w:eastAsia="zh-CN"/>
              </w:rPr>
              <w:t>马伟新</w:t>
            </w:r>
          </w:p>
        </w:tc>
        <w:tc>
          <w:tcPr>
            <w:tcW w:w="895"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05" w:type="dxa"/>
            <w:vMerge w:val="continue"/>
            <w:vAlign w:val="center"/>
          </w:tcPr>
          <w:p>
            <w:pPr>
              <w:rPr>
                <w:rFonts w:hint="eastAsia" w:ascii="华文楷体" w:hAnsi="华文楷体" w:eastAsia="华文楷体" w:cs="华文楷体"/>
                <w:sz w:val="24"/>
                <w:szCs w:val="24"/>
              </w:rPr>
            </w:pPr>
          </w:p>
        </w:tc>
        <w:tc>
          <w:tcPr>
            <w:tcW w:w="1115" w:type="dxa"/>
            <w:vMerge w:val="continue"/>
            <w:vAlign w:val="center"/>
          </w:tcPr>
          <w:p>
            <w:pPr>
              <w:rPr>
                <w:rFonts w:hint="eastAsia" w:ascii="华文楷体" w:hAnsi="华文楷体" w:eastAsia="华文楷体" w:cs="华文楷体"/>
                <w:sz w:val="24"/>
                <w:szCs w:val="24"/>
              </w:rPr>
            </w:pPr>
          </w:p>
        </w:tc>
        <w:tc>
          <w:tcPr>
            <w:tcW w:w="1069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审核员：</w:t>
            </w:r>
            <w:r>
              <w:rPr>
                <w:rFonts w:hint="eastAsia" w:ascii="华文楷体" w:hAnsi="华文楷体" w:eastAsia="华文楷体" w:cs="华文楷体"/>
                <w:sz w:val="24"/>
                <w:szCs w:val="24"/>
                <w:lang w:val="en-US" w:eastAsia="zh-CN"/>
              </w:rPr>
              <w:t xml:space="preserve">强兴   </w:t>
            </w:r>
            <w:r>
              <w:rPr>
                <w:rFonts w:hint="eastAsia" w:ascii="华文楷体" w:hAnsi="华文楷体" w:eastAsia="华文楷体" w:cs="华文楷体"/>
                <w:sz w:val="24"/>
                <w:szCs w:val="24"/>
              </w:rPr>
              <w:t>审核时间：202</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8</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13</w:t>
            </w:r>
            <w:r>
              <w:rPr>
                <w:rFonts w:hint="eastAsia" w:ascii="华文楷体" w:hAnsi="华文楷体" w:eastAsia="华文楷体" w:cs="华文楷体"/>
                <w:sz w:val="24"/>
                <w:szCs w:val="24"/>
              </w:rPr>
              <w:t>日</w:t>
            </w:r>
          </w:p>
        </w:tc>
        <w:tc>
          <w:tcPr>
            <w:tcW w:w="89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05" w:type="dxa"/>
            <w:vMerge w:val="continue"/>
            <w:vAlign w:val="center"/>
          </w:tcPr>
          <w:p>
            <w:pPr>
              <w:rPr>
                <w:rFonts w:hint="eastAsia" w:ascii="华文楷体" w:hAnsi="华文楷体" w:eastAsia="华文楷体" w:cs="华文楷体"/>
                <w:sz w:val="24"/>
                <w:szCs w:val="24"/>
              </w:rPr>
            </w:pPr>
          </w:p>
        </w:tc>
        <w:tc>
          <w:tcPr>
            <w:tcW w:w="1115" w:type="dxa"/>
            <w:vMerge w:val="continue"/>
            <w:vAlign w:val="center"/>
          </w:tcPr>
          <w:p>
            <w:pPr>
              <w:rPr>
                <w:rFonts w:hint="eastAsia" w:ascii="华文楷体" w:hAnsi="华文楷体" w:eastAsia="华文楷体" w:cs="华文楷体"/>
                <w:sz w:val="24"/>
                <w:szCs w:val="24"/>
              </w:rPr>
            </w:pPr>
          </w:p>
        </w:tc>
        <w:tc>
          <w:tcPr>
            <w:tcW w:w="10694" w:type="dxa"/>
            <w:vAlign w:val="center"/>
          </w:tcPr>
          <w:p>
            <w:pPr>
              <w:snapToGrid w:val="0"/>
              <w:spacing w:line="24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审核条款：</w:t>
            </w:r>
          </w:p>
          <w:p>
            <w:pPr>
              <w:pStyle w:val="2"/>
              <w:rPr>
                <w:rFonts w:hint="eastAsia"/>
              </w:rPr>
            </w:pPr>
          </w:p>
          <w:p>
            <w:pPr>
              <w:snapToGrid w:val="0"/>
              <w:spacing w:line="240" w:lineRule="exact"/>
              <w:rPr>
                <w:rFonts w:hint="eastAsia" w:ascii="华文楷体" w:hAnsi="华文楷体" w:eastAsia="华文楷体" w:cs="华文楷体"/>
                <w:b w:val="0"/>
                <w:bCs w:val="0"/>
                <w:sz w:val="24"/>
                <w:szCs w:val="24"/>
                <w:lang w:val="de-DE"/>
              </w:rPr>
            </w:pPr>
            <w:r>
              <w:rPr>
                <w:rFonts w:hint="eastAsia" w:ascii="华文楷体" w:hAnsi="华文楷体" w:eastAsia="华文楷体" w:cs="华文楷体"/>
                <w:b w:val="0"/>
                <w:bCs w:val="0"/>
                <w:sz w:val="24"/>
                <w:szCs w:val="24"/>
                <w:lang w:val="de-DE"/>
              </w:rPr>
              <w:t xml:space="preserve">EMS-2015 </w:t>
            </w:r>
          </w:p>
          <w:p>
            <w:pPr>
              <w:snapToGrid w:val="0"/>
              <w:spacing w:line="24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5.3组织的角色、职责和权限、6.1.2环境因素；6.2目标及其达成的策划；7.1资源；8.1运行策划和控制；8.2应急准备和响应</w:t>
            </w:r>
          </w:p>
          <w:p>
            <w:pPr>
              <w:snapToGrid w:val="0"/>
              <w:spacing w:line="240" w:lineRule="exact"/>
              <w:rPr>
                <w:rFonts w:hint="eastAsia" w:ascii="华文楷体" w:hAnsi="华文楷体" w:eastAsia="华文楷体" w:cs="华文楷体"/>
                <w:b w:val="0"/>
                <w:bCs w:val="0"/>
                <w:sz w:val="24"/>
                <w:szCs w:val="24"/>
                <w:lang w:val="de-DE"/>
              </w:rPr>
            </w:pPr>
          </w:p>
          <w:p>
            <w:pPr>
              <w:snapToGrid w:val="0"/>
              <w:spacing w:line="24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lang w:val="de-DE"/>
              </w:rPr>
              <w:t>ISO 45001：2018</w:t>
            </w:r>
          </w:p>
          <w:p>
            <w:pPr>
              <w:snapToGrid w:val="0"/>
              <w:spacing w:line="24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5.3组织的角色、职责和权限、6.1.2环境因素；6.2目标及其达成的策划；7.1资源；8.1运行策划和控制；8.2应急准备和响应</w:t>
            </w:r>
          </w:p>
        </w:tc>
        <w:tc>
          <w:tcPr>
            <w:tcW w:w="89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05"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组织的岗位、职责权限</w:t>
            </w:r>
          </w:p>
        </w:tc>
        <w:tc>
          <w:tcPr>
            <w:tcW w:w="1115"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eastAsia="zh-CN"/>
              </w:rPr>
              <w:t>EO</w:t>
            </w:r>
            <w:r>
              <w:rPr>
                <w:rFonts w:hint="eastAsia" w:ascii="华文楷体" w:hAnsi="华文楷体" w:eastAsia="华文楷体" w:cs="华文楷体"/>
                <w:sz w:val="24"/>
                <w:szCs w:val="24"/>
              </w:rPr>
              <w:t>5.3</w:t>
            </w:r>
          </w:p>
          <w:p>
            <w:pPr>
              <w:pStyle w:val="2"/>
              <w:rPr>
                <w:rFonts w:hint="eastAsia" w:ascii="华文楷体" w:hAnsi="华文楷体" w:eastAsia="华文楷体" w:cs="华文楷体"/>
                <w:sz w:val="24"/>
                <w:szCs w:val="24"/>
              </w:rPr>
            </w:pPr>
          </w:p>
        </w:tc>
        <w:tc>
          <w:tcPr>
            <w:tcW w:w="10694" w:type="dxa"/>
            <w:vAlign w:val="center"/>
          </w:tcPr>
          <w:p>
            <w:pPr>
              <w:ind w:firstLine="480" w:firstLineChars="200"/>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部门负责人：</w:t>
            </w:r>
            <w:r>
              <w:rPr>
                <w:rFonts w:hint="eastAsia" w:ascii="华文楷体" w:hAnsi="华文楷体" w:eastAsia="华文楷体" w:cs="华文楷体"/>
                <w:color w:val="000000"/>
                <w:sz w:val="24"/>
                <w:szCs w:val="24"/>
                <w:lang w:val="en-US" w:eastAsia="zh-CN"/>
              </w:rPr>
              <w:t>侯磊</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以确保环境管理体系符合本标准的要求；</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确保各过程获得其预期输出；</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报告环境管理体系绩效及其改进机遇（见 10.1），须向最高管理者报告；</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确保在整个组织推动以顾客为关注焦点；</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确保在策划和实施质量/环境管理体系变更时，保持其完整性。</w:t>
            </w:r>
          </w:p>
          <w:p>
            <w:pPr>
              <w:ind w:firstLine="720" w:firstLineChars="3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财务部</w:t>
            </w:r>
            <w:r>
              <w:rPr>
                <w:rFonts w:hint="eastAsia" w:ascii="华文楷体" w:hAnsi="华文楷体" w:eastAsia="华文楷体" w:cs="华文楷体"/>
                <w:bCs/>
                <w:sz w:val="24"/>
                <w:szCs w:val="24"/>
              </w:rPr>
              <w:t>的</w:t>
            </w:r>
            <w:r>
              <w:rPr>
                <w:rFonts w:hint="eastAsia" w:ascii="华文楷体" w:hAnsi="华文楷体" w:eastAsia="华文楷体" w:cs="华文楷体"/>
                <w:bCs/>
                <w:sz w:val="24"/>
                <w:szCs w:val="24"/>
                <w:lang w:val="en-US" w:eastAsia="zh-CN"/>
              </w:rPr>
              <w:t>职责</w:t>
            </w:r>
            <w:r>
              <w:rPr>
                <w:rFonts w:hint="eastAsia" w:ascii="华文楷体" w:hAnsi="华文楷体" w:eastAsia="华文楷体" w:cs="华文楷体"/>
                <w:bCs/>
                <w:sz w:val="24"/>
                <w:szCs w:val="24"/>
              </w:rPr>
              <w:t>和权限：</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 负责公司资金管理，质量、环境及职业健康安全管理体系运行的资金保障；</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•负责负责公司财务工作；</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•负责公司职业健康、环境体系运行的资金支持；</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•负责实施公司财务工作管理，监督各项财务规章制度的执行；</w:t>
            </w:r>
          </w:p>
          <w:p>
            <w:pPr>
              <w:snapToGrid w:val="0"/>
              <w:spacing w:line="24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•负责本公司存量资金的管理, 加速资金周转，提高资金使用效益；负责清理往来帐款。</w:t>
            </w:r>
          </w:p>
          <w:p>
            <w:pPr>
              <w:ind w:firstLine="720" w:firstLineChars="300"/>
              <w:rPr>
                <w:rFonts w:hint="eastAsia" w:ascii="华文楷体" w:hAnsi="华文楷体" w:eastAsia="华文楷体" w:cs="华文楷体"/>
                <w:sz w:val="24"/>
                <w:szCs w:val="24"/>
              </w:rPr>
            </w:pPr>
            <w:r>
              <w:rPr>
                <w:rFonts w:hint="eastAsia" w:ascii="华文楷体" w:hAnsi="华文楷体" w:eastAsia="华文楷体" w:cs="华文楷体"/>
                <w:sz w:val="24"/>
                <w:szCs w:val="24"/>
              </w:rPr>
              <w:t>职责明确，回答基本正确，沟通顺畅。</w:t>
            </w:r>
          </w:p>
        </w:tc>
        <w:tc>
          <w:tcPr>
            <w:tcW w:w="895"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05" w:type="dxa"/>
          </w:tcPr>
          <w:p>
            <w:pPr>
              <w:spacing w:line="28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管理目标及其实现的策划</w:t>
            </w:r>
          </w:p>
          <w:p>
            <w:pPr>
              <w:spacing w:line="280" w:lineRule="exact"/>
              <w:rPr>
                <w:rFonts w:hint="eastAsia" w:ascii="华文楷体" w:hAnsi="华文楷体" w:eastAsia="华文楷体" w:cs="华文楷体"/>
                <w:sz w:val="24"/>
                <w:szCs w:val="24"/>
              </w:rPr>
            </w:pPr>
          </w:p>
        </w:tc>
        <w:tc>
          <w:tcPr>
            <w:tcW w:w="1115" w:type="dxa"/>
          </w:tcPr>
          <w:p>
            <w:pPr>
              <w:spacing w:line="28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lang w:eastAsia="zh-CN"/>
              </w:rPr>
              <w:t>EO</w:t>
            </w:r>
            <w:r>
              <w:rPr>
                <w:rFonts w:hint="eastAsia" w:ascii="华文楷体" w:hAnsi="华文楷体" w:eastAsia="华文楷体" w:cs="华文楷体"/>
                <w:sz w:val="24"/>
                <w:szCs w:val="24"/>
              </w:rPr>
              <w:t>6.2</w:t>
            </w:r>
          </w:p>
          <w:p>
            <w:pPr>
              <w:spacing w:line="280" w:lineRule="exact"/>
              <w:rPr>
                <w:rFonts w:hint="eastAsia" w:ascii="华文楷体" w:hAnsi="华文楷体" w:eastAsia="华文楷体" w:cs="华文楷体"/>
                <w:sz w:val="24"/>
                <w:szCs w:val="24"/>
              </w:rPr>
            </w:pPr>
          </w:p>
        </w:tc>
        <w:tc>
          <w:tcPr>
            <w:tcW w:w="10694" w:type="dxa"/>
            <w:vAlign w:val="center"/>
          </w:tcPr>
          <w:p>
            <w:pPr>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公司对管理体系所需的相关职能、层次和过程设定管理目标。</w:t>
            </w:r>
          </w:p>
          <w:p>
            <w:pPr>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目标可测量，与公司管理方针一致。</w:t>
            </w:r>
          </w:p>
          <w:p>
            <w:pPr>
              <w:autoSpaceDE w:val="0"/>
              <w:autoSpaceDN w:val="0"/>
              <w:adjustRightInd w:val="0"/>
              <w:ind w:firstLine="480" w:firstLineChars="200"/>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lang w:val="en-US" w:eastAsia="zh-CN"/>
              </w:rPr>
              <w:t>财务</w:t>
            </w:r>
            <w:r>
              <w:rPr>
                <w:rFonts w:hint="eastAsia" w:ascii="华文楷体" w:hAnsi="华文楷体" w:eastAsia="华文楷体" w:cs="华文楷体"/>
                <w:kern w:val="0"/>
                <w:sz w:val="24"/>
                <w:szCs w:val="24"/>
              </w:rPr>
              <w:t>部的目标分解为：</w:t>
            </w:r>
          </w:p>
          <w:p>
            <w:pPr>
              <w:pStyle w:val="2"/>
              <w:numPr>
                <w:ilvl w:val="0"/>
                <w:numId w:val="1"/>
              </w:numPr>
              <w:ind w:left="425" w:leftChars="0" w:hanging="425" w:firstLineChars="0"/>
              <w:rPr>
                <w:rFonts w:hint="eastAsia" w:ascii="华文楷体" w:hAnsi="华文楷体" w:eastAsia="华文楷体" w:cs="华文楷体"/>
                <w:kern w:val="0"/>
                <w:sz w:val="24"/>
                <w:szCs w:val="24"/>
              </w:rPr>
            </w:pPr>
            <w:r>
              <w:rPr>
                <w:rFonts w:hint="eastAsia" w:ascii="华文楷体" w:hAnsi="华文楷体" w:eastAsia="华文楷体" w:cs="华文楷体"/>
                <w:color w:val="000000"/>
                <w:sz w:val="24"/>
                <w:szCs w:val="24"/>
              </w:rPr>
              <w:t>环保/安全专项资金到位及时率100%</w:t>
            </w:r>
          </w:p>
          <w:p>
            <w:pPr>
              <w:pStyle w:val="2"/>
              <w:numPr>
                <w:ilvl w:val="0"/>
                <w:numId w:val="1"/>
              </w:numPr>
              <w:ind w:left="425" w:leftChars="0" w:hanging="425" w:firstLineChars="0"/>
              <w:rPr>
                <w:rFonts w:hint="eastAsia" w:ascii="华文楷体" w:hAnsi="华文楷体" w:eastAsia="华文楷体" w:cs="华文楷体"/>
                <w:color w:val="000000"/>
                <w:sz w:val="24"/>
                <w:szCs w:val="24"/>
                <w:lang w:eastAsia="zh-CN"/>
              </w:rPr>
            </w:pPr>
            <w:r>
              <w:rPr>
                <w:rFonts w:hint="eastAsia" w:ascii="华文楷体" w:hAnsi="华文楷体" w:eastAsia="华文楷体" w:cs="华文楷体"/>
                <w:color w:val="000000"/>
                <w:sz w:val="24"/>
                <w:szCs w:val="24"/>
              </w:rPr>
              <w:t>固体废弃物规范处理率100%</w:t>
            </w:r>
            <w:r>
              <w:rPr>
                <w:rFonts w:hint="eastAsia" w:ascii="华文楷体" w:hAnsi="华文楷体" w:eastAsia="华文楷体" w:cs="华文楷体"/>
                <w:color w:val="000000"/>
                <w:sz w:val="24"/>
                <w:szCs w:val="24"/>
                <w:lang w:eastAsia="zh-CN"/>
              </w:rPr>
              <w:t>；</w:t>
            </w:r>
          </w:p>
          <w:p>
            <w:pPr>
              <w:pStyle w:val="2"/>
              <w:numPr>
                <w:ilvl w:val="0"/>
                <w:numId w:val="1"/>
              </w:numPr>
              <w:ind w:left="425" w:leftChars="0" w:hanging="425" w:firstLineChars="0"/>
              <w:rPr>
                <w:rFonts w:hint="eastAsia" w:ascii="华文楷体" w:hAnsi="华文楷体" w:eastAsia="华文楷体" w:cs="华文楷体"/>
                <w:color w:val="000000"/>
                <w:sz w:val="24"/>
                <w:szCs w:val="24"/>
                <w:lang w:eastAsia="zh-CN"/>
              </w:rPr>
            </w:pPr>
            <w:r>
              <w:rPr>
                <w:rFonts w:hint="eastAsia" w:ascii="华文楷体" w:hAnsi="华文楷体" w:eastAsia="华文楷体" w:cs="华文楷体"/>
                <w:color w:val="000000"/>
                <w:sz w:val="24"/>
                <w:szCs w:val="24"/>
              </w:rPr>
              <w:t>火灾事故率为0</w:t>
            </w:r>
          </w:p>
          <w:p>
            <w:pPr>
              <w:pStyle w:val="2"/>
              <w:rPr>
                <w:rFonts w:hint="eastAsia" w:ascii="宋体" w:hAnsi="宋体"/>
                <w:color w:val="000000"/>
                <w:szCs w:val="21"/>
                <w:lang w:eastAsia="zh-CN"/>
              </w:rPr>
            </w:pPr>
          </w:p>
          <w:p>
            <w:pPr>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每年由</w:t>
            </w:r>
            <w:r>
              <w:rPr>
                <w:rFonts w:hint="eastAsia" w:ascii="华文楷体" w:hAnsi="华文楷体" w:eastAsia="华文楷体" w:cs="华文楷体"/>
                <w:sz w:val="24"/>
                <w:szCs w:val="24"/>
                <w:lang w:val="en-US" w:eastAsia="zh-CN"/>
              </w:rPr>
              <w:t>综合部</w:t>
            </w:r>
            <w:r>
              <w:rPr>
                <w:rFonts w:hint="eastAsia" w:ascii="华文楷体" w:hAnsi="华文楷体" w:eastAsia="华文楷体" w:cs="华文楷体"/>
                <w:sz w:val="24"/>
                <w:szCs w:val="24"/>
              </w:rPr>
              <w:t>按公司管理目标考核要求统计考核公司管理目标完成情况，提交管理评审会议。查到202</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rPr>
              <w:t>月-202</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9</w:t>
            </w:r>
            <w:r>
              <w:rPr>
                <w:rFonts w:hint="eastAsia" w:ascii="华文楷体" w:hAnsi="华文楷体" w:eastAsia="华文楷体" w:cs="华文楷体"/>
                <w:sz w:val="24"/>
                <w:szCs w:val="24"/>
              </w:rPr>
              <w:t>月，公司管理目标完成情况，各项目标均已完成，考核部门</w:t>
            </w:r>
            <w:r>
              <w:rPr>
                <w:rFonts w:hint="eastAsia" w:ascii="华文楷体" w:hAnsi="华文楷体" w:eastAsia="华文楷体" w:cs="华文楷体"/>
                <w:sz w:val="24"/>
                <w:szCs w:val="24"/>
                <w:lang w:val="en-US" w:eastAsia="zh-CN"/>
              </w:rPr>
              <w:t>办公室</w:t>
            </w:r>
            <w:r>
              <w:rPr>
                <w:rFonts w:hint="eastAsia" w:ascii="华文楷体" w:hAnsi="华文楷体" w:eastAsia="华文楷体" w:cs="华文楷体"/>
                <w:sz w:val="24"/>
                <w:szCs w:val="24"/>
              </w:rPr>
              <w:t>。</w:t>
            </w:r>
          </w:p>
          <w:p>
            <w:pPr>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查 “环境目标、指标和管理方案”，公司针对重要环境因素和重大危险源制订了相应的管理方案。</w:t>
            </w:r>
          </w:p>
        </w:tc>
        <w:tc>
          <w:tcPr>
            <w:tcW w:w="895"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05" w:type="dxa"/>
          </w:tcPr>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环境因素</w:t>
            </w:r>
            <w:r>
              <w:rPr>
                <w:rFonts w:hint="eastAsia" w:ascii="华文楷体" w:hAnsi="华文楷体" w:eastAsia="华文楷体" w:cs="华文楷体"/>
                <w:sz w:val="24"/>
                <w:szCs w:val="24"/>
                <w:lang w:val="en-US" w:eastAsia="zh-CN"/>
              </w:rPr>
              <w:t>/危险源辨识</w:t>
            </w:r>
          </w:p>
        </w:tc>
        <w:tc>
          <w:tcPr>
            <w:tcW w:w="1115"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eastAsia="zh-CN"/>
              </w:rPr>
              <w:t>EO</w:t>
            </w:r>
            <w:r>
              <w:rPr>
                <w:rFonts w:hint="eastAsia" w:ascii="华文楷体" w:hAnsi="华文楷体" w:eastAsia="华文楷体" w:cs="华文楷体"/>
                <w:sz w:val="24"/>
                <w:szCs w:val="24"/>
              </w:rPr>
              <w:t>6.1.2</w:t>
            </w:r>
          </w:p>
        </w:tc>
        <w:tc>
          <w:tcPr>
            <w:tcW w:w="10694" w:type="dxa"/>
            <w:vAlign w:val="center"/>
          </w:tcPr>
          <w:p>
            <w:pPr>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bCs/>
                <w:sz w:val="24"/>
                <w:szCs w:val="24"/>
                <w:lang w:val="en-US" w:eastAsia="zh-CN"/>
              </w:rPr>
              <w:t>财务</w:t>
            </w:r>
            <w:r>
              <w:rPr>
                <w:rFonts w:hint="eastAsia" w:ascii="华文楷体" w:hAnsi="华文楷体" w:eastAsia="华文楷体" w:cs="华文楷体"/>
                <w:bCs/>
                <w:sz w:val="24"/>
                <w:szCs w:val="24"/>
              </w:rPr>
              <w:t>部提供了</w:t>
            </w:r>
            <w:r>
              <w:rPr>
                <w:rFonts w:hint="eastAsia" w:ascii="华文楷体" w:hAnsi="华文楷体" w:eastAsia="华文楷体" w:cs="华文楷体"/>
                <w:sz w:val="24"/>
                <w:szCs w:val="24"/>
              </w:rPr>
              <w:t>环境因素识别与评价表，共识别出环境因素</w:t>
            </w:r>
            <w:r>
              <w:rPr>
                <w:rFonts w:hint="eastAsia" w:ascii="华文楷体" w:hAnsi="华文楷体" w:eastAsia="华文楷体" w:cs="华文楷体"/>
                <w:sz w:val="24"/>
                <w:szCs w:val="24"/>
                <w:lang w:val="en-US" w:eastAsia="zh-CN"/>
              </w:rPr>
              <w:t>19</w:t>
            </w:r>
            <w:r>
              <w:rPr>
                <w:rFonts w:hint="eastAsia" w:ascii="华文楷体" w:hAnsi="华文楷体" w:eastAsia="华文楷体" w:cs="华文楷体"/>
                <w:sz w:val="24"/>
                <w:szCs w:val="24"/>
              </w:rPr>
              <w:t>条，包括空调氟的泄漏、</w:t>
            </w:r>
            <w:r>
              <w:rPr>
                <w:rFonts w:hint="eastAsia" w:ascii="华文楷体" w:hAnsi="华文楷体" w:eastAsia="华文楷体" w:cs="华文楷体"/>
                <w:bCs/>
                <w:sz w:val="24"/>
                <w:szCs w:val="24"/>
              </w:rPr>
              <w:t>复印机墨盒的废弃</w:t>
            </w:r>
            <w:r>
              <w:rPr>
                <w:rFonts w:hint="eastAsia" w:ascii="华文楷体" w:hAnsi="华文楷体" w:eastAsia="华文楷体" w:cs="华文楷体"/>
                <w:sz w:val="24"/>
                <w:szCs w:val="24"/>
              </w:rPr>
              <w:t>等，共评价出重要环境因素</w:t>
            </w: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条，制定了相应的控制措施。</w:t>
            </w:r>
          </w:p>
          <w:p>
            <w:pPr>
              <w:pStyle w:val="2"/>
              <w:rPr>
                <w:rFonts w:hint="default" w:eastAsia="宋体"/>
                <w:lang w:val="en-US" w:eastAsia="zh-CN"/>
              </w:rPr>
            </w:pPr>
            <w:r>
              <w:rPr>
                <w:rFonts w:hint="eastAsia" w:ascii="华文楷体" w:hAnsi="华文楷体" w:eastAsia="华文楷体" w:cs="华文楷体"/>
                <w:color w:val="000000"/>
                <w:szCs w:val="21"/>
                <w:lang w:val="en-US" w:eastAsia="zh-CN"/>
              </w:rPr>
              <w:t>一般危险源辨识共15项，重大危险源辨识共2项，包括触电、潜在火灾，</w:t>
            </w:r>
            <w:r>
              <w:rPr>
                <w:rFonts w:hint="eastAsia" w:ascii="华文楷体" w:hAnsi="华文楷体" w:eastAsia="华文楷体" w:cs="华文楷体"/>
                <w:color w:val="000000"/>
                <w:szCs w:val="21"/>
                <w:lang w:eastAsia="zh-CN"/>
              </w:rPr>
              <w:t>制定了相应的控制措施。</w:t>
            </w:r>
          </w:p>
          <w:p>
            <w:pPr>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bCs/>
                <w:sz w:val="24"/>
                <w:szCs w:val="24"/>
              </w:rPr>
              <w:t>控制措施有效。</w:t>
            </w:r>
          </w:p>
        </w:tc>
        <w:tc>
          <w:tcPr>
            <w:tcW w:w="895"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05" w:type="dxa"/>
            <w:vAlign w:val="center"/>
          </w:tcPr>
          <w:p>
            <w:pPr>
              <w:spacing w:line="480" w:lineRule="exact"/>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资源</w:t>
            </w:r>
          </w:p>
        </w:tc>
        <w:tc>
          <w:tcPr>
            <w:tcW w:w="1115" w:type="dxa"/>
            <w:vAlign w:val="center"/>
          </w:tcPr>
          <w:p>
            <w:pPr>
              <w:spacing w:line="480" w:lineRule="exact"/>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E</w:t>
            </w:r>
            <w:r>
              <w:rPr>
                <w:rFonts w:hint="eastAsia" w:ascii="华文楷体" w:hAnsi="华文楷体" w:eastAsia="华文楷体" w:cs="华文楷体"/>
                <w:sz w:val="24"/>
                <w:szCs w:val="24"/>
                <w:lang w:val="en-US" w:eastAsia="zh-CN"/>
              </w:rPr>
              <w:t>O</w:t>
            </w:r>
            <w:r>
              <w:rPr>
                <w:rFonts w:hint="eastAsia" w:ascii="华文楷体" w:hAnsi="华文楷体" w:eastAsia="华文楷体" w:cs="华文楷体"/>
                <w:sz w:val="24"/>
                <w:szCs w:val="24"/>
              </w:rPr>
              <w:t>：7.1</w:t>
            </w:r>
          </w:p>
        </w:tc>
        <w:tc>
          <w:tcPr>
            <w:tcW w:w="10694" w:type="dxa"/>
            <w:vAlign w:val="center"/>
          </w:tcPr>
          <w:p>
            <w:pPr>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为确保公司环保、安全资金得得以保障，公司每年制定专门预算，及时提供有关资金，确保本公司各项资金及时到位，保证环保、安全活动得到实施，达到预防污染、安全第一的活动目的。</w:t>
            </w:r>
          </w:p>
          <w:p>
            <w:pPr>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通过</w:t>
            </w:r>
            <w:r>
              <w:rPr>
                <w:rFonts w:hint="eastAsia" w:ascii="华文楷体" w:hAnsi="华文楷体" w:eastAsia="华文楷体" w:cs="华文楷体"/>
                <w:sz w:val="24"/>
                <w:szCs w:val="24"/>
                <w:lang w:val="en-US" w:eastAsia="zh-CN"/>
              </w:rPr>
              <w:t>远程</w:t>
            </w:r>
            <w:r>
              <w:rPr>
                <w:rFonts w:hint="eastAsia" w:ascii="华文楷体" w:hAnsi="华文楷体" w:eastAsia="华文楷体" w:cs="华文楷体"/>
                <w:sz w:val="24"/>
                <w:szCs w:val="24"/>
              </w:rPr>
              <w:t>观察及与领导沟通了解到，公司为确保管理体系的有效运行和持续改进，确保满足顾客要求，增强顾客满意，确定并提供了必要的资源，经过管理体系运行证明，现有资源可满足体系和产品的要求。</w:t>
            </w:r>
          </w:p>
          <w:p>
            <w:pPr>
              <w:pStyle w:val="2"/>
              <w:ind w:firstLine="480" w:firstLineChars="200"/>
              <w:rPr>
                <w:rFonts w:hint="eastAsia" w:ascii="华文楷体" w:hAnsi="华文楷体" w:eastAsia="华文楷体" w:cs="华文楷体"/>
                <w:bCs w:val="0"/>
                <w:spacing w:val="0"/>
                <w:sz w:val="24"/>
                <w:szCs w:val="24"/>
              </w:rPr>
            </w:pPr>
            <w:r>
              <w:rPr>
                <w:rFonts w:hint="eastAsia" w:ascii="华文楷体" w:hAnsi="华文楷体" w:eastAsia="华文楷体" w:cs="华文楷体"/>
                <w:bCs w:val="0"/>
                <w:spacing w:val="0"/>
                <w:kern w:val="2"/>
                <w:sz w:val="24"/>
                <w:szCs w:val="24"/>
                <w:lang w:val="en-US" w:eastAsia="zh-CN" w:bidi="ar-SA"/>
              </w:rPr>
              <w:t>公司目前的基础设施，能够满足当前三体系的要求。公司将依据经营发展的需要，会不断补充与增加。</w:t>
            </w:r>
          </w:p>
        </w:tc>
        <w:tc>
          <w:tcPr>
            <w:tcW w:w="895" w:type="dxa"/>
          </w:tcPr>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05"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运行控制</w:t>
            </w:r>
          </w:p>
        </w:tc>
        <w:tc>
          <w:tcPr>
            <w:tcW w:w="1115"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eastAsia="zh-CN"/>
              </w:rPr>
              <w:t>EO</w:t>
            </w:r>
            <w:r>
              <w:rPr>
                <w:rFonts w:hint="eastAsia" w:ascii="华文楷体" w:hAnsi="华文楷体" w:eastAsia="华文楷体" w:cs="华文楷体"/>
                <w:sz w:val="24"/>
                <w:szCs w:val="24"/>
              </w:rPr>
              <w:t>8.1</w:t>
            </w:r>
          </w:p>
          <w:p>
            <w:pPr>
              <w:rPr>
                <w:rFonts w:hint="eastAsia" w:ascii="华文楷体" w:hAnsi="华文楷体" w:eastAsia="华文楷体" w:cs="华文楷体"/>
                <w:sz w:val="24"/>
                <w:szCs w:val="24"/>
              </w:rPr>
            </w:pPr>
          </w:p>
        </w:tc>
        <w:tc>
          <w:tcPr>
            <w:tcW w:w="10694" w:type="dxa"/>
            <w:vAlign w:val="center"/>
          </w:tcPr>
          <w:p>
            <w:pPr>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本部门执行废弃物控制程序、环境运行控制程序等。</w:t>
            </w:r>
          </w:p>
          <w:p>
            <w:pPr>
              <w:ind w:firstLine="480" w:firstLineChars="200"/>
              <w:rPr>
                <w:rFonts w:hint="eastAsia" w:ascii="华文楷体" w:hAnsi="华文楷体" w:eastAsia="华文楷体" w:cs="华文楷体"/>
                <w:sz w:val="24"/>
                <w:szCs w:val="24"/>
                <w:lang w:val="en-GB"/>
              </w:rPr>
            </w:pPr>
            <w:r>
              <w:rPr>
                <w:rFonts w:hint="eastAsia" w:ascii="华文楷体" w:hAnsi="华文楷体" w:eastAsia="华文楷体" w:cs="华文楷体"/>
                <w:sz w:val="24"/>
                <w:szCs w:val="24"/>
                <w:lang w:val="en-GB"/>
              </w:rPr>
              <w:t>运行控制情况：办公过程注意节约用电，做到人走灯灭，电脑长时间不用时关机，下班前要关闭电源。</w:t>
            </w:r>
          </w:p>
          <w:p>
            <w:pPr>
              <w:ind w:firstLine="480" w:firstLineChars="200"/>
              <w:rPr>
                <w:rFonts w:hint="eastAsia" w:ascii="华文楷体" w:hAnsi="华文楷体" w:eastAsia="华文楷体" w:cs="华文楷体"/>
                <w:sz w:val="24"/>
                <w:szCs w:val="24"/>
                <w:lang w:val="en-GB"/>
              </w:rPr>
            </w:pPr>
            <w:r>
              <w:rPr>
                <w:rFonts w:hint="eastAsia" w:ascii="华文楷体" w:hAnsi="华文楷体" w:eastAsia="华文楷体" w:cs="华文楷体"/>
                <w:sz w:val="24"/>
                <w:szCs w:val="24"/>
              </w:rPr>
              <w:t>办公过程使用的电器如：空调、电脑、灯具均符合安全设计要求，使用过程注意安全，预防触电，工作时间平均每天8小时；</w:t>
            </w:r>
          </w:p>
          <w:p>
            <w:pPr>
              <w:ind w:firstLine="480" w:firstLineChars="200"/>
              <w:rPr>
                <w:rFonts w:hint="eastAsia" w:ascii="华文楷体" w:hAnsi="华文楷体" w:eastAsia="华文楷体" w:cs="华文楷体"/>
                <w:sz w:val="24"/>
                <w:szCs w:val="24"/>
                <w:lang w:val="en-GB"/>
              </w:rPr>
            </w:pPr>
            <w:r>
              <w:rPr>
                <w:rFonts w:hint="eastAsia" w:ascii="华文楷体" w:hAnsi="华文楷体" w:eastAsia="华文楷体" w:cs="华文楷体"/>
                <w:sz w:val="24"/>
                <w:szCs w:val="24"/>
                <w:lang w:val="en-GB"/>
              </w:rPr>
              <w:t>办公用品按要求由</w:t>
            </w:r>
            <w:r>
              <w:rPr>
                <w:rFonts w:hint="eastAsia" w:ascii="华文楷体" w:hAnsi="华文楷体" w:eastAsia="华文楷体" w:cs="华文楷体"/>
                <w:sz w:val="24"/>
                <w:szCs w:val="24"/>
              </w:rPr>
              <w:t>行</w:t>
            </w:r>
            <w:r>
              <w:rPr>
                <w:rFonts w:hint="eastAsia" w:ascii="华文楷体" w:hAnsi="华文楷体" w:eastAsia="华文楷体" w:cs="华文楷体"/>
                <w:sz w:val="24"/>
                <w:szCs w:val="24"/>
                <w:lang w:val="en-US" w:eastAsia="zh-CN"/>
              </w:rPr>
              <w:t>办公室</w:t>
            </w:r>
            <w:r>
              <w:rPr>
                <w:rFonts w:hint="eastAsia" w:ascii="华文楷体" w:hAnsi="华文楷体" w:eastAsia="华文楷体" w:cs="华文楷体"/>
                <w:sz w:val="24"/>
                <w:szCs w:val="24"/>
                <w:lang w:val="en-GB"/>
              </w:rPr>
              <w:t>负责发放，作好记录；</w:t>
            </w:r>
            <w:r>
              <w:rPr>
                <w:rFonts w:hint="eastAsia" w:ascii="华文楷体" w:hAnsi="华文楷体" w:eastAsia="华文楷体" w:cs="华文楷体"/>
                <w:sz w:val="24"/>
                <w:szCs w:val="24"/>
              </w:rPr>
              <w:t>为满足环境和职业健康安全体系的运行，公司投入了环保及安全资金，主要是安全教育培训、劳保用品、社保等，运行至今支出约</w:t>
            </w:r>
            <w:r>
              <w:rPr>
                <w:rFonts w:hint="eastAsia"/>
              </w:rPr>
              <w:t>391750</w:t>
            </w:r>
            <w:bookmarkStart w:id="0" w:name="_GoBack"/>
            <w:bookmarkEnd w:id="0"/>
            <w:r>
              <w:rPr>
                <w:rFonts w:hint="eastAsia" w:ascii="华文楷体" w:hAnsi="华文楷体" w:eastAsia="华文楷体" w:cs="华文楷体"/>
                <w:sz w:val="24"/>
                <w:szCs w:val="24"/>
              </w:rPr>
              <w:t>元。</w:t>
            </w:r>
          </w:p>
          <w:p>
            <w:pPr>
              <w:ind w:firstLine="480" w:firstLineChars="200"/>
              <w:rPr>
                <w:rFonts w:hint="eastAsia" w:ascii="华文楷体" w:hAnsi="华文楷体" w:eastAsia="华文楷体" w:cs="华文楷体"/>
                <w:sz w:val="24"/>
                <w:szCs w:val="24"/>
                <w:lang w:val="en-GB"/>
              </w:rPr>
            </w:pPr>
            <w:r>
              <w:rPr>
                <w:rFonts w:hint="eastAsia" w:ascii="华文楷体" w:hAnsi="华文楷体" w:eastAsia="华文楷体" w:cs="华文楷体"/>
                <w:sz w:val="24"/>
                <w:szCs w:val="24"/>
                <w:lang w:val="en-GB"/>
              </w:rPr>
              <w:t>相关方施加影响：公司识别了相关方的环境因素，并进行了控制。</w:t>
            </w:r>
          </w:p>
          <w:p>
            <w:pPr>
              <w:pStyle w:val="2"/>
              <w:ind w:firstLine="480" w:firstLineChars="200"/>
              <w:rPr>
                <w:rFonts w:hint="eastAsia" w:ascii="华文楷体" w:hAnsi="华文楷体" w:eastAsia="华文楷体" w:cs="华文楷体"/>
                <w:sz w:val="24"/>
                <w:szCs w:val="24"/>
                <w:lang w:eastAsia="zh-CN"/>
              </w:rPr>
            </w:pPr>
            <w:r>
              <w:rPr>
                <w:rFonts w:hint="eastAsia" w:ascii="华文楷体" w:hAnsi="华文楷体" w:eastAsia="华文楷体" w:cs="华文楷体"/>
                <w:bCs w:val="0"/>
                <w:spacing w:val="0"/>
                <w:sz w:val="24"/>
                <w:szCs w:val="24"/>
              </w:rPr>
              <w:t>提供了</w:t>
            </w:r>
            <w:r>
              <w:rPr>
                <w:rFonts w:hint="eastAsia" w:ascii="华文楷体" w:hAnsi="华文楷体" w:eastAsia="华文楷体" w:cs="华文楷体"/>
                <w:sz w:val="24"/>
                <w:szCs w:val="24"/>
              </w:rPr>
              <w:t>环境管理方案实施情况检查记录表</w:t>
            </w:r>
            <w:r>
              <w:rPr>
                <w:rFonts w:hint="eastAsia" w:ascii="华文楷体" w:hAnsi="华文楷体" w:eastAsia="华文楷体" w:cs="华文楷体"/>
                <w:bCs w:val="0"/>
                <w:spacing w:val="0"/>
                <w:sz w:val="24"/>
                <w:szCs w:val="24"/>
              </w:rPr>
              <w:t>，抽查：火灾的控制措施实施情况</w:t>
            </w:r>
            <w:r>
              <w:rPr>
                <w:rFonts w:hint="eastAsia" w:ascii="华文楷体" w:hAnsi="华文楷体" w:eastAsia="华文楷体" w:cs="华文楷体"/>
                <w:bCs w:val="0"/>
                <w:spacing w:val="0"/>
                <w:sz w:val="24"/>
                <w:szCs w:val="24"/>
                <w:lang w:eastAsia="zh-CN"/>
              </w:rPr>
              <w:t>。</w:t>
            </w:r>
          </w:p>
        </w:tc>
        <w:tc>
          <w:tcPr>
            <w:tcW w:w="895"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005"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应急准备和响应</w:t>
            </w:r>
          </w:p>
        </w:tc>
        <w:tc>
          <w:tcPr>
            <w:tcW w:w="1115"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eastAsia="zh-CN"/>
              </w:rPr>
              <w:t>EO</w:t>
            </w:r>
            <w:r>
              <w:rPr>
                <w:rFonts w:hint="eastAsia" w:ascii="华文楷体" w:hAnsi="华文楷体" w:eastAsia="华文楷体" w:cs="华文楷体"/>
                <w:sz w:val="24"/>
                <w:szCs w:val="24"/>
              </w:rPr>
              <w:t>8.2</w:t>
            </w:r>
          </w:p>
          <w:p>
            <w:pPr>
              <w:rPr>
                <w:rFonts w:hint="eastAsia" w:ascii="华文楷体" w:hAnsi="华文楷体" w:eastAsia="华文楷体" w:cs="华文楷体"/>
                <w:sz w:val="24"/>
                <w:szCs w:val="24"/>
              </w:rPr>
            </w:pPr>
          </w:p>
        </w:tc>
        <w:tc>
          <w:tcPr>
            <w:tcW w:w="10694" w:type="dxa"/>
            <w:vAlign w:val="center"/>
          </w:tcPr>
          <w:p>
            <w:pPr>
              <w:ind w:firstLine="240" w:firstLineChars="1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rPr>
              <w:t>提供了紧急事故预防应急办法，制定了预防措施和应急措施。</w:t>
            </w:r>
          </w:p>
          <w:p>
            <w:pPr>
              <w:ind w:firstLine="480" w:firstLineChars="200"/>
              <w:rPr>
                <w:rFonts w:hint="eastAsia" w:ascii="华文楷体" w:hAnsi="华文楷体" w:eastAsia="华文楷体" w:cs="华文楷体"/>
                <w:bCs/>
                <w:sz w:val="24"/>
                <w:szCs w:val="24"/>
                <w:lang w:val="en-GB"/>
              </w:rPr>
            </w:pPr>
            <w:r>
              <w:rPr>
                <w:rFonts w:hint="eastAsia" w:ascii="华文楷体" w:hAnsi="华文楷体" w:eastAsia="华文楷体" w:cs="华文楷体"/>
                <w:bCs/>
                <w:sz w:val="24"/>
                <w:szCs w:val="24"/>
                <w:lang w:val="en-GB"/>
              </w:rPr>
              <w:t>制定了《应急准备和响应控制程序》，包含有事件级别及不同级别事件的处理程序、事件处理组织机构及职责分工、通用及特殊处理程序、各岗位要求等。具有可操作性。</w:t>
            </w:r>
          </w:p>
          <w:p>
            <w:pPr>
              <w:ind w:firstLine="480" w:firstLineChars="200"/>
              <w:rPr>
                <w:rFonts w:hint="eastAsia" w:ascii="华文楷体" w:hAnsi="华文楷体" w:eastAsia="华文楷体" w:cs="华文楷体"/>
                <w:bCs/>
                <w:sz w:val="24"/>
                <w:szCs w:val="24"/>
                <w:lang w:val="en-GB" w:eastAsia="zh-CN"/>
              </w:rPr>
            </w:pPr>
            <w:r>
              <w:rPr>
                <w:rFonts w:hint="eastAsia" w:ascii="华文楷体" w:hAnsi="华文楷体" w:eastAsia="华文楷体" w:cs="华文楷体"/>
                <w:bCs/>
                <w:sz w:val="24"/>
                <w:szCs w:val="24"/>
                <w:lang w:val="en-GB"/>
              </w:rPr>
              <w:t>202</w:t>
            </w:r>
            <w:r>
              <w:rPr>
                <w:rFonts w:hint="eastAsia" w:ascii="华文楷体" w:hAnsi="华文楷体" w:eastAsia="华文楷体" w:cs="华文楷体"/>
                <w:bCs/>
                <w:sz w:val="24"/>
                <w:szCs w:val="24"/>
                <w:lang w:val="en-US" w:eastAsia="zh-CN"/>
              </w:rPr>
              <w:t>1</w:t>
            </w:r>
            <w:r>
              <w:rPr>
                <w:rFonts w:hint="eastAsia" w:ascii="华文楷体" w:hAnsi="华文楷体" w:eastAsia="华文楷体" w:cs="华文楷体"/>
                <w:bCs/>
                <w:sz w:val="24"/>
                <w:szCs w:val="24"/>
              </w:rPr>
              <w:t>年</w:t>
            </w:r>
            <w:r>
              <w:rPr>
                <w:rFonts w:hint="eastAsia" w:ascii="华文楷体" w:hAnsi="华文楷体" w:eastAsia="华文楷体" w:cs="华文楷体"/>
                <w:bCs/>
                <w:sz w:val="24"/>
                <w:szCs w:val="24"/>
                <w:lang w:val="en-US" w:eastAsia="zh-CN"/>
              </w:rPr>
              <w:t>6</w:t>
            </w:r>
            <w:r>
              <w:rPr>
                <w:rFonts w:hint="eastAsia" w:ascii="华文楷体" w:hAnsi="华文楷体" w:eastAsia="华文楷体" w:cs="华文楷体"/>
                <w:bCs/>
                <w:sz w:val="24"/>
                <w:szCs w:val="24"/>
              </w:rPr>
              <w:t>月</w:t>
            </w:r>
            <w:r>
              <w:rPr>
                <w:rFonts w:hint="eastAsia" w:ascii="华文楷体" w:hAnsi="华文楷体" w:eastAsia="华文楷体" w:cs="华文楷体"/>
                <w:bCs/>
                <w:sz w:val="24"/>
                <w:szCs w:val="24"/>
                <w:lang w:val="en-US" w:eastAsia="zh-CN"/>
              </w:rPr>
              <w:t>20日</w:t>
            </w:r>
            <w:r>
              <w:rPr>
                <w:rFonts w:hint="eastAsia" w:ascii="华文楷体" w:hAnsi="华文楷体" w:eastAsia="华文楷体" w:cs="华文楷体"/>
                <w:bCs/>
                <w:sz w:val="24"/>
                <w:szCs w:val="24"/>
                <w:lang w:val="en-GB"/>
              </w:rPr>
              <w:t>编制夏季消防演练疏散记录，</w:t>
            </w:r>
            <w:r>
              <w:rPr>
                <w:rFonts w:hint="eastAsia" w:ascii="华文楷体" w:hAnsi="华文楷体" w:eastAsia="华文楷体" w:cs="华文楷体"/>
                <w:bCs/>
                <w:sz w:val="24"/>
                <w:szCs w:val="24"/>
              </w:rPr>
              <w:t>202</w:t>
            </w:r>
            <w:r>
              <w:rPr>
                <w:rFonts w:hint="eastAsia" w:ascii="华文楷体" w:hAnsi="华文楷体" w:eastAsia="华文楷体" w:cs="华文楷体"/>
                <w:bCs/>
                <w:sz w:val="24"/>
                <w:szCs w:val="24"/>
                <w:lang w:val="en-US" w:eastAsia="zh-CN"/>
              </w:rPr>
              <w:t>1</w:t>
            </w:r>
            <w:r>
              <w:rPr>
                <w:rFonts w:hint="eastAsia" w:ascii="华文楷体" w:hAnsi="华文楷体" w:eastAsia="华文楷体" w:cs="华文楷体"/>
                <w:bCs/>
                <w:sz w:val="24"/>
                <w:szCs w:val="24"/>
              </w:rPr>
              <w:t>年</w:t>
            </w:r>
            <w:r>
              <w:rPr>
                <w:rFonts w:hint="eastAsia" w:ascii="华文楷体" w:hAnsi="华文楷体" w:eastAsia="华文楷体" w:cs="华文楷体"/>
                <w:bCs/>
                <w:sz w:val="24"/>
                <w:szCs w:val="24"/>
                <w:lang w:val="en-US" w:eastAsia="zh-CN"/>
              </w:rPr>
              <w:t>6</w:t>
            </w:r>
            <w:r>
              <w:rPr>
                <w:rFonts w:hint="eastAsia" w:ascii="华文楷体" w:hAnsi="华文楷体" w:eastAsia="华文楷体" w:cs="华文楷体"/>
                <w:bCs/>
                <w:sz w:val="24"/>
                <w:szCs w:val="24"/>
              </w:rPr>
              <w:t>月</w:t>
            </w:r>
            <w:r>
              <w:rPr>
                <w:rFonts w:hint="eastAsia" w:ascii="华文楷体" w:hAnsi="华文楷体" w:eastAsia="华文楷体" w:cs="华文楷体"/>
                <w:bCs/>
                <w:sz w:val="24"/>
                <w:szCs w:val="24"/>
                <w:lang w:val="en-US" w:eastAsia="zh-CN"/>
              </w:rPr>
              <w:t>25</w:t>
            </w:r>
            <w:r>
              <w:rPr>
                <w:rFonts w:hint="eastAsia" w:ascii="华文楷体" w:hAnsi="华文楷体" w:eastAsia="华文楷体" w:cs="华文楷体"/>
                <w:bCs/>
                <w:sz w:val="24"/>
                <w:szCs w:val="24"/>
              </w:rPr>
              <w:t>日进行《消防应急预案》</w:t>
            </w:r>
            <w:r>
              <w:rPr>
                <w:rFonts w:hint="eastAsia" w:ascii="华文楷体" w:hAnsi="华文楷体" w:eastAsia="华文楷体" w:cs="华文楷体"/>
                <w:bCs/>
                <w:sz w:val="24"/>
                <w:szCs w:val="24"/>
                <w:lang w:val="en-GB"/>
              </w:rPr>
              <w:t>演习，演练内容</w:t>
            </w:r>
            <w:r>
              <w:rPr>
                <w:rFonts w:hint="eastAsia" w:ascii="华文楷体" w:hAnsi="华文楷体" w:eastAsia="华文楷体" w:cs="华文楷体"/>
                <w:bCs/>
                <w:sz w:val="24"/>
                <w:szCs w:val="24"/>
                <w:lang w:val="en-GB" w:eastAsia="zh-CN"/>
              </w:rPr>
              <w:t>：1、明火、干燥、电线老化引起火灾；</w:t>
            </w:r>
          </w:p>
          <w:p>
            <w:pPr>
              <w:ind w:firstLine="960" w:firstLineChars="400"/>
              <w:rPr>
                <w:rFonts w:hint="eastAsia" w:ascii="华文楷体" w:hAnsi="华文楷体" w:eastAsia="华文楷体" w:cs="华文楷体"/>
                <w:bCs/>
                <w:sz w:val="24"/>
                <w:szCs w:val="24"/>
                <w:lang w:val="en-GB" w:eastAsia="zh-CN"/>
              </w:rPr>
            </w:pPr>
            <w:r>
              <w:rPr>
                <w:rFonts w:hint="eastAsia" w:ascii="华文楷体" w:hAnsi="华文楷体" w:eastAsia="华文楷体" w:cs="华文楷体"/>
                <w:bCs/>
                <w:sz w:val="24"/>
                <w:szCs w:val="24"/>
                <w:lang w:val="en-GB" w:eastAsia="zh-CN"/>
              </w:rPr>
              <w:t>2、模拟烧伤处置；</w:t>
            </w:r>
          </w:p>
          <w:p>
            <w:pPr>
              <w:ind w:firstLine="960" w:firstLineChars="400"/>
              <w:rPr>
                <w:rFonts w:hint="eastAsia" w:ascii="华文楷体" w:hAnsi="华文楷体" w:eastAsia="华文楷体" w:cs="华文楷体"/>
                <w:bCs/>
                <w:sz w:val="24"/>
                <w:szCs w:val="24"/>
                <w:lang w:val="en-GB" w:eastAsia="zh-CN"/>
              </w:rPr>
            </w:pPr>
            <w:r>
              <w:rPr>
                <w:rFonts w:hint="eastAsia" w:ascii="华文楷体" w:hAnsi="华文楷体" w:eastAsia="华文楷体" w:cs="华文楷体"/>
                <w:bCs/>
                <w:sz w:val="24"/>
                <w:szCs w:val="24"/>
                <w:lang w:val="en-GB" w:eastAsia="zh-CN"/>
              </w:rPr>
              <w:t>3、演习火灾，组织演习灭火及逃生。</w:t>
            </w:r>
          </w:p>
          <w:p>
            <w:pPr>
              <w:ind w:firstLine="480" w:firstLineChars="200"/>
              <w:rPr>
                <w:rFonts w:hint="eastAsia" w:ascii="华文楷体" w:hAnsi="华文楷体" w:eastAsia="华文楷体" w:cs="华文楷体"/>
                <w:bCs/>
                <w:sz w:val="24"/>
                <w:szCs w:val="24"/>
                <w:lang w:val="en-GB" w:eastAsia="zh-CN"/>
              </w:rPr>
            </w:pPr>
            <w:r>
              <w:rPr>
                <w:rFonts w:hint="eastAsia" w:ascii="华文楷体" w:hAnsi="华文楷体" w:eastAsia="华文楷体" w:cs="华文楷体"/>
                <w:bCs/>
                <w:sz w:val="24"/>
                <w:szCs w:val="24"/>
                <w:lang w:val="en-GB"/>
              </w:rPr>
              <w:t>应急演练后对应急预案进行了评审，</w:t>
            </w:r>
            <w:r>
              <w:rPr>
                <w:rFonts w:hint="eastAsia" w:ascii="华文楷体" w:hAnsi="华文楷体" w:eastAsia="华文楷体" w:cs="华文楷体"/>
                <w:bCs/>
                <w:sz w:val="24"/>
                <w:szCs w:val="24"/>
              </w:rPr>
              <w:t>效果评价：</w:t>
            </w:r>
            <w:r>
              <w:rPr>
                <w:rFonts w:hint="eastAsia" w:ascii="华文楷体" w:hAnsi="华文楷体" w:eastAsia="华文楷体" w:cs="华文楷体"/>
                <w:bCs/>
                <w:sz w:val="24"/>
                <w:szCs w:val="24"/>
                <w:lang w:val="en-GB" w:eastAsia="zh-CN"/>
              </w:rPr>
              <w:t>公司制定的应急措施有效，故障顺利被排除。</w:t>
            </w:r>
          </w:p>
          <w:p>
            <w:pPr>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GB" w:eastAsia="zh-CN"/>
              </w:rPr>
              <w:t>烧伤得到正确的处置。人员能及时疏散。灭火方法正确有效。演习过程表明，应急预案中设定的方法可以控制应急情况下的环境污染，将人身伤亡可能降到最低。</w:t>
            </w:r>
          </w:p>
          <w:p>
            <w:pPr>
              <w:ind w:firstLine="480" w:firstLineChars="200"/>
              <w:rPr>
                <w:rFonts w:hint="eastAsia" w:ascii="华文楷体" w:hAnsi="华文楷体" w:eastAsia="华文楷体" w:cs="华文楷体"/>
                <w:bCs/>
                <w:sz w:val="24"/>
                <w:szCs w:val="24"/>
                <w:lang w:val="en-GB"/>
              </w:rPr>
            </w:pPr>
            <w:r>
              <w:rPr>
                <w:rFonts w:hint="eastAsia" w:ascii="华文楷体" w:hAnsi="华文楷体" w:eastAsia="华文楷体" w:cs="华文楷体"/>
                <w:bCs/>
                <w:sz w:val="24"/>
                <w:szCs w:val="24"/>
                <w:lang w:val="en-GB"/>
              </w:rPr>
              <w:t>应急预案不重要修订。</w:t>
            </w:r>
            <w:r>
              <w:rPr>
                <w:rFonts w:hint="eastAsia" w:ascii="华文楷体" w:hAnsi="华文楷体" w:eastAsia="华文楷体" w:cs="华文楷体"/>
                <w:bCs/>
                <w:sz w:val="24"/>
                <w:szCs w:val="24"/>
              </w:rPr>
              <w:t>自体系运行以来尚未发生紧急情况。</w:t>
            </w:r>
          </w:p>
          <w:p>
            <w:pPr>
              <w:ind w:firstLine="480" w:firstLineChars="200"/>
              <w:rPr>
                <w:rFonts w:hint="eastAsia" w:ascii="华文楷体" w:hAnsi="华文楷体" w:eastAsia="华文楷体" w:cs="华文楷体"/>
                <w:bCs/>
                <w:sz w:val="24"/>
                <w:szCs w:val="24"/>
              </w:rPr>
            </w:pPr>
            <w:r>
              <w:rPr>
                <w:rFonts w:hint="eastAsia" w:ascii="华文楷体" w:hAnsi="华文楷体" w:eastAsia="华文楷体" w:cs="华文楷体"/>
                <w:bCs/>
                <w:sz w:val="24"/>
                <w:szCs w:val="24"/>
                <w:lang w:val="en-US" w:eastAsia="zh-CN"/>
              </w:rPr>
              <w:t>财务部</w:t>
            </w:r>
            <w:r>
              <w:rPr>
                <w:rFonts w:hint="eastAsia" w:ascii="华文楷体" w:hAnsi="华文楷体" w:eastAsia="华文楷体" w:cs="华文楷体"/>
                <w:bCs/>
                <w:sz w:val="24"/>
                <w:szCs w:val="24"/>
              </w:rPr>
              <w:t>参与了此次演练。自体系运行以来尚未发生紧急情况。</w:t>
            </w:r>
          </w:p>
        </w:tc>
        <w:tc>
          <w:tcPr>
            <w:tcW w:w="895" w:type="dxa"/>
          </w:tcPr>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合格</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w:t>
    </w:r>
    <w:r>
      <w:rPr>
        <w:rStyle w:val="16"/>
        <w:rFonts w:hint="eastAsia"/>
        <w:w w:val="90"/>
      </w:rPr>
      <w:t>EO</w:t>
    </w:r>
    <w:r>
      <w:rPr>
        <w:rStyle w:val="16"/>
        <w:rFonts w:hint="default"/>
        <w:w w:val="90"/>
      </w:rPr>
      <w:t>ijing Int</w:t>
    </w:r>
    <w:r>
      <w:rPr>
        <w:rStyle w:val="16"/>
        <w:rFonts w:hint="eastAsia"/>
        <w:w w:val="90"/>
      </w:rPr>
      <w:t>EO</w:t>
    </w:r>
    <w:r>
      <w:rPr>
        <w:rStyle w:val="16"/>
        <w:rFonts w:hint="default"/>
        <w:w w:val="90"/>
      </w:rPr>
      <w:t>rnational Standard unit</w:t>
    </w:r>
    <w:r>
      <w:rPr>
        <w:rStyle w:val="16"/>
        <w:rFonts w:hint="eastAsia"/>
        <w:w w:val="90"/>
      </w:rPr>
      <w:t>EO</w:t>
    </w:r>
    <w:r>
      <w:rPr>
        <w:rStyle w:val="16"/>
        <w:rFonts w:hint="default"/>
        <w:w w:val="90"/>
      </w:rPr>
      <w:t>d C</w:t>
    </w:r>
    <w:r>
      <w:rPr>
        <w:rStyle w:val="16"/>
        <w:rFonts w:hint="eastAsia"/>
        <w:w w:val="90"/>
      </w:rPr>
      <w:t>EO</w:t>
    </w:r>
    <w:r>
      <w:rPr>
        <w:rStyle w:val="16"/>
        <w:rFonts w:hint="default"/>
        <w:w w:val="90"/>
      </w:rPr>
      <w:t>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767BE"/>
    <w:multiLevelType w:val="singleLevel"/>
    <w:tmpl w:val="A9D767B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87F0C"/>
    <w:rsid w:val="00193307"/>
    <w:rsid w:val="001A2D7F"/>
    <w:rsid w:val="001E6B5E"/>
    <w:rsid w:val="001F0932"/>
    <w:rsid w:val="002426BC"/>
    <w:rsid w:val="002539A0"/>
    <w:rsid w:val="002648F1"/>
    <w:rsid w:val="0028542A"/>
    <w:rsid w:val="00292C83"/>
    <w:rsid w:val="002B311A"/>
    <w:rsid w:val="002E1F88"/>
    <w:rsid w:val="003022CC"/>
    <w:rsid w:val="0031441A"/>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44D91"/>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2264A"/>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8776C"/>
    <w:rsid w:val="008973EE"/>
    <w:rsid w:val="008C2804"/>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811C1"/>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4046B"/>
    <w:rsid w:val="00D522CF"/>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16700E8"/>
    <w:rsid w:val="02B84719"/>
    <w:rsid w:val="02FA6253"/>
    <w:rsid w:val="03076A09"/>
    <w:rsid w:val="032C3757"/>
    <w:rsid w:val="036603D4"/>
    <w:rsid w:val="04617F72"/>
    <w:rsid w:val="04C04927"/>
    <w:rsid w:val="05B11F2A"/>
    <w:rsid w:val="06400A4B"/>
    <w:rsid w:val="066242B9"/>
    <w:rsid w:val="06E01EC3"/>
    <w:rsid w:val="09535250"/>
    <w:rsid w:val="09806D23"/>
    <w:rsid w:val="0ABD54CF"/>
    <w:rsid w:val="0ADD10A1"/>
    <w:rsid w:val="0B156FC6"/>
    <w:rsid w:val="0B256D46"/>
    <w:rsid w:val="0BB74A17"/>
    <w:rsid w:val="0C1821A1"/>
    <w:rsid w:val="0C5F0639"/>
    <w:rsid w:val="0C85106D"/>
    <w:rsid w:val="0D66233C"/>
    <w:rsid w:val="0D8B1FB3"/>
    <w:rsid w:val="0DB65284"/>
    <w:rsid w:val="0F6442AD"/>
    <w:rsid w:val="0FD00C55"/>
    <w:rsid w:val="0FDA7F53"/>
    <w:rsid w:val="108219C2"/>
    <w:rsid w:val="11705116"/>
    <w:rsid w:val="12B34C21"/>
    <w:rsid w:val="14FD5A10"/>
    <w:rsid w:val="15110FDA"/>
    <w:rsid w:val="155A19C5"/>
    <w:rsid w:val="17B20018"/>
    <w:rsid w:val="18DB38B5"/>
    <w:rsid w:val="1A120A39"/>
    <w:rsid w:val="1AD215C7"/>
    <w:rsid w:val="1B2C7B1C"/>
    <w:rsid w:val="1DEB6A58"/>
    <w:rsid w:val="1E295883"/>
    <w:rsid w:val="1E565434"/>
    <w:rsid w:val="1E90527F"/>
    <w:rsid w:val="21747ECE"/>
    <w:rsid w:val="21F66F4C"/>
    <w:rsid w:val="22017E7F"/>
    <w:rsid w:val="23544896"/>
    <w:rsid w:val="235E7C88"/>
    <w:rsid w:val="246B6135"/>
    <w:rsid w:val="24D155C6"/>
    <w:rsid w:val="24F21A97"/>
    <w:rsid w:val="24FE116D"/>
    <w:rsid w:val="26542BEF"/>
    <w:rsid w:val="26E4625C"/>
    <w:rsid w:val="27B53290"/>
    <w:rsid w:val="28A46FFC"/>
    <w:rsid w:val="29A06FDB"/>
    <w:rsid w:val="2A134B34"/>
    <w:rsid w:val="2A6C57EF"/>
    <w:rsid w:val="2A712F0F"/>
    <w:rsid w:val="2B2E2752"/>
    <w:rsid w:val="2B9022F9"/>
    <w:rsid w:val="2BFC024F"/>
    <w:rsid w:val="2C9B1E1D"/>
    <w:rsid w:val="2F4B0E69"/>
    <w:rsid w:val="30D16CC5"/>
    <w:rsid w:val="31C028B0"/>
    <w:rsid w:val="31FB7626"/>
    <w:rsid w:val="32CD215B"/>
    <w:rsid w:val="36F83FC1"/>
    <w:rsid w:val="37476F8A"/>
    <w:rsid w:val="37BD1687"/>
    <w:rsid w:val="38610411"/>
    <w:rsid w:val="38AA56C2"/>
    <w:rsid w:val="38E10519"/>
    <w:rsid w:val="39827C37"/>
    <w:rsid w:val="39DC2AD6"/>
    <w:rsid w:val="3A8C0FF8"/>
    <w:rsid w:val="3B0531C8"/>
    <w:rsid w:val="3B6C46BE"/>
    <w:rsid w:val="3C125F9B"/>
    <w:rsid w:val="3C1959EB"/>
    <w:rsid w:val="3D2F613A"/>
    <w:rsid w:val="3E1444F6"/>
    <w:rsid w:val="3E4B2521"/>
    <w:rsid w:val="3F3B2173"/>
    <w:rsid w:val="40715AC8"/>
    <w:rsid w:val="40B67F76"/>
    <w:rsid w:val="415E2F32"/>
    <w:rsid w:val="41E277AB"/>
    <w:rsid w:val="429A35A3"/>
    <w:rsid w:val="435C1130"/>
    <w:rsid w:val="43CF7722"/>
    <w:rsid w:val="442828E9"/>
    <w:rsid w:val="452E67F9"/>
    <w:rsid w:val="46A806E4"/>
    <w:rsid w:val="47B661D7"/>
    <w:rsid w:val="49A53CA0"/>
    <w:rsid w:val="49BA3960"/>
    <w:rsid w:val="4A0F666A"/>
    <w:rsid w:val="4B4B30DE"/>
    <w:rsid w:val="4BFA763C"/>
    <w:rsid w:val="4C4035AE"/>
    <w:rsid w:val="4D1329F6"/>
    <w:rsid w:val="4D9F75D5"/>
    <w:rsid w:val="4DAC099D"/>
    <w:rsid w:val="4DDC3C53"/>
    <w:rsid w:val="4F7F35B2"/>
    <w:rsid w:val="52B24340"/>
    <w:rsid w:val="52DE5F29"/>
    <w:rsid w:val="554C3B4B"/>
    <w:rsid w:val="56311B54"/>
    <w:rsid w:val="57A7242E"/>
    <w:rsid w:val="58E26DA2"/>
    <w:rsid w:val="5949498B"/>
    <w:rsid w:val="59821704"/>
    <w:rsid w:val="59A85EFD"/>
    <w:rsid w:val="5A8F463C"/>
    <w:rsid w:val="5D86343D"/>
    <w:rsid w:val="5DB12D14"/>
    <w:rsid w:val="5EA12B9A"/>
    <w:rsid w:val="5EC928D3"/>
    <w:rsid w:val="5F425B73"/>
    <w:rsid w:val="5F5C48D2"/>
    <w:rsid w:val="5F6A1134"/>
    <w:rsid w:val="5F8E191F"/>
    <w:rsid w:val="5F9641CD"/>
    <w:rsid w:val="61141FE6"/>
    <w:rsid w:val="628D2779"/>
    <w:rsid w:val="628D5F03"/>
    <w:rsid w:val="633E6785"/>
    <w:rsid w:val="64F43146"/>
    <w:rsid w:val="654A5507"/>
    <w:rsid w:val="655D3F95"/>
    <w:rsid w:val="658C10F3"/>
    <w:rsid w:val="65CA104B"/>
    <w:rsid w:val="66356363"/>
    <w:rsid w:val="66972AAF"/>
    <w:rsid w:val="677E4DCB"/>
    <w:rsid w:val="68BB08C9"/>
    <w:rsid w:val="69E44934"/>
    <w:rsid w:val="6A4140D3"/>
    <w:rsid w:val="6A5D69B2"/>
    <w:rsid w:val="6A7021FA"/>
    <w:rsid w:val="6C093A05"/>
    <w:rsid w:val="6CAD504A"/>
    <w:rsid w:val="6DA65F1D"/>
    <w:rsid w:val="6DDC578F"/>
    <w:rsid w:val="6E031C73"/>
    <w:rsid w:val="6E116960"/>
    <w:rsid w:val="6E6B6A6E"/>
    <w:rsid w:val="6EE8797B"/>
    <w:rsid w:val="6FF46E59"/>
    <w:rsid w:val="7051627C"/>
    <w:rsid w:val="70B43D3E"/>
    <w:rsid w:val="70CA3520"/>
    <w:rsid w:val="71EF2A5A"/>
    <w:rsid w:val="73127B0E"/>
    <w:rsid w:val="73E237A4"/>
    <w:rsid w:val="73E9008B"/>
    <w:rsid w:val="768B61E0"/>
    <w:rsid w:val="76C24502"/>
    <w:rsid w:val="772935FE"/>
    <w:rsid w:val="7841299F"/>
    <w:rsid w:val="78B42605"/>
    <w:rsid w:val="7A0E74A5"/>
    <w:rsid w:val="7A42130E"/>
    <w:rsid w:val="7A8B2930"/>
    <w:rsid w:val="7AAA6FD9"/>
    <w:rsid w:val="7B53369F"/>
    <w:rsid w:val="7B760BF0"/>
    <w:rsid w:val="7B8757FC"/>
    <w:rsid w:val="7BD64508"/>
    <w:rsid w:val="7C046C2A"/>
    <w:rsid w:val="7C483276"/>
    <w:rsid w:val="7C4D08BC"/>
    <w:rsid w:val="7D20030E"/>
    <w:rsid w:val="7DAC6B0C"/>
    <w:rsid w:val="7DAD46F3"/>
    <w:rsid w:val="7F776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420"/>
      <w:jc w:val="left"/>
    </w:pPr>
    <w:rPr>
      <w:rFonts w:eastAsia="仿宋_GB2312"/>
      <w:color w:val="000000"/>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2"/>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2400</Characters>
  <Lines>20</Lines>
  <Paragraphs>5</Paragraphs>
  <TotalTime>0</TotalTime>
  <ScaleCrop>false</ScaleCrop>
  <LinksUpToDate>false</LinksUpToDate>
  <CharactersWithSpaces>2815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2021-11-15T08:19:54Z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C068F02AB27D4DB3A4EE282C6F7C95BE</vt:lpwstr>
  </property>
</Properties>
</file>