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1134-2021-EnMs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晋江市亿泰隆化纤制造有限公司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2021年11月06日 上午至2021年11月07日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8" w:name="Q勾选Add2"/>
            <w:r>
              <w:rPr>
                <w:rFonts w:hint="eastAsia" w:ascii="宋体" w:hAnsi="宋体"/>
                <w:b/>
                <w:color w:val="000000"/>
                <w:szCs w:val="21"/>
                <w:lang w:val="de-DE"/>
              </w:rPr>
              <w:t>□</w:t>
            </w:r>
            <w:bookmarkEnd w:id="8"/>
            <w:r>
              <w:rPr>
                <w:rFonts w:hint="eastAsia" w:ascii="宋体" w:hAnsi="宋体"/>
                <w:b/>
                <w:color w:val="000000"/>
                <w:szCs w:val="21"/>
                <w:lang w:val="de-DE"/>
              </w:rPr>
              <w:t>GB/T19001-2016</w:t>
            </w:r>
            <w:bookmarkStart w:id="9" w:name="QJ勾选Add2"/>
            <w:r>
              <w:rPr>
                <w:rFonts w:hint="eastAsia" w:ascii="宋体" w:hAnsi="宋体"/>
                <w:b/>
                <w:color w:val="000000"/>
                <w:szCs w:val="21"/>
                <w:lang w:val="de-DE"/>
              </w:rPr>
              <w:t>□</w:t>
            </w:r>
            <w:bookmarkEnd w:id="9"/>
            <w:r>
              <w:rPr>
                <w:rFonts w:hint="eastAsia" w:ascii="宋体" w:hAnsi="宋体"/>
                <w:b/>
                <w:color w:val="000000"/>
                <w:szCs w:val="21"/>
                <w:lang w:val="de-DE"/>
              </w:rPr>
              <w:t>GB/T 50430-2017</w:t>
            </w:r>
            <w:bookmarkStart w:id="10" w:name="E勾选Add2"/>
            <w:r>
              <w:rPr>
                <w:rFonts w:hint="eastAsia" w:ascii="宋体" w:hAnsi="宋体"/>
                <w:b/>
                <w:color w:val="000000"/>
                <w:szCs w:val="21"/>
                <w:lang w:val="de-DE"/>
              </w:rPr>
              <w:t>□</w:t>
            </w:r>
            <w:bookmarkEnd w:id="10"/>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1" w:name="S勾选Add2"/>
            <w:r>
              <w:rPr>
                <w:rFonts w:hint="eastAsia" w:ascii="宋体" w:hAnsi="宋体"/>
                <w:b/>
                <w:color w:val="000000"/>
                <w:szCs w:val="21"/>
                <w:lang w:val="de-DE"/>
              </w:rPr>
              <w:t>□</w:t>
            </w:r>
            <w:bookmarkEnd w:id="11"/>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/T 102-2013</w:t>
            </w:r>
          </w:p>
          <w:p>
            <w:pPr>
              <w:rPr>
                <w:rFonts w:ascii="宋体" w:hAnsi="宋体"/>
                <w:b/>
                <w:color w:val="000000"/>
                <w:szCs w:val="21"/>
                <w:lang w:val="de-DE"/>
              </w:rPr>
            </w:pPr>
            <w:r>
              <w:rPr>
                <w:rFonts w:hint="eastAsia" w:ascii="宋体" w:hAnsi="宋体"/>
                <w:b/>
                <w:color w:val="000000"/>
                <w:szCs w:val="21"/>
                <w:lang w:val="de-DE"/>
              </w:rPr>
              <w:t>FSMS：</w:t>
            </w:r>
            <w:bookmarkStart w:id="12" w:name="F勾选Add2"/>
            <w:r>
              <w:rPr>
                <w:rFonts w:hint="eastAsia" w:ascii="宋体" w:hAnsi="宋体"/>
                <w:b/>
                <w:color w:val="000000"/>
                <w:szCs w:val="21"/>
                <w:lang w:val="de-DE"/>
              </w:rPr>
              <w:t>□</w:t>
            </w:r>
            <w:bookmarkEnd w:id="1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3" w:name="H勾选Add2"/>
            <w:r>
              <w:rPr>
                <w:rFonts w:hint="eastAsia" w:ascii="宋体" w:hAnsi="宋体"/>
                <w:b/>
                <w:color w:val="000000"/>
                <w:szCs w:val="21"/>
                <w:lang w:val="de-DE"/>
              </w:rPr>
              <w:t>□</w:t>
            </w:r>
            <w:bookmarkEnd w:id="1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lang w:val="en-US" w:eastAsia="zh-CN"/>
              </w:rPr>
              <w:t>河北省石家庄市高新区昆仑大街399号2号楼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w:t>
            </w:r>
            <w:r>
              <w:rPr>
                <w:rFonts w:hint="eastAsia" w:ascii="宋体"/>
                <w:b/>
                <w:color w:val="0000FF"/>
                <w:szCs w:val="21"/>
              </w:rPr>
              <w:sym w:font="Wingdings 2" w:char="00A3"/>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w:t>
            </w:r>
            <w:r>
              <w:rPr>
                <w:rFonts w:hint="eastAsia" w:ascii="宋体"/>
                <w:b/>
                <w:color w:val="0000FF"/>
                <w:szCs w:val="21"/>
              </w:rPr>
              <w:sym w:font="Wingdings 2" w:char="0052"/>
            </w:r>
            <w:r>
              <w:rPr>
                <w:rFonts w:hint="eastAsia" w:ascii="宋体"/>
                <w:b/>
                <w:color w:val="0000FF"/>
                <w:szCs w:val="21"/>
              </w:rPr>
              <w:t>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4" w:name="组织名称Add1"/>
            <w:r>
              <w:rPr>
                <w:rFonts w:ascii="宋体"/>
                <w:b/>
                <w:color w:val="000000"/>
                <w:szCs w:val="21"/>
              </w:rPr>
              <w:t>晋江市亿泰隆化纤制造有限公司</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5" w:name="注册地址"/>
            <w:r>
              <w:rPr>
                <w:rFonts w:ascii="宋体"/>
                <w:b/>
                <w:color w:val="000000"/>
                <w:szCs w:val="21"/>
              </w:rPr>
              <w:t>晋江市龙湖镇石厦工业小区</w:t>
            </w:r>
            <w:bookmarkEnd w:id="1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6" w:name="注册邮编"/>
            <w:r>
              <w:rPr>
                <w:rFonts w:ascii="宋体"/>
                <w:b/>
                <w:color w:val="000000"/>
                <w:szCs w:val="21"/>
              </w:rPr>
              <w:t>362241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7" w:name="生产地址"/>
            <w:bookmarkStart w:id="18" w:name="办公地址"/>
            <w:r>
              <w:rPr>
                <w:rFonts w:ascii="宋体"/>
                <w:b/>
                <w:color w:val="000000"/>
                <w:szCs w:val="21"/>
              </w:rPr>
              <w:t>晋江市龙湖镇石厦工业小区</w:t>
            </w:r>
            <w:bookmarkEnd w:id="17"/>
            <w:bookmarkEnd w:id="1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9" w:name="办公邮编"/>
            <w:r>
              <w:rPr>
                <w:rFonts w:ascii="宋体"/>
                <w:b/>
                <w:color w:val="000000"/>
                <w:szCs w:val="21"/>
              </w:rPr>
              <w:t>362241</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0" w:name="联系人"/>
            <w:r>
              <w:rPr>
                <w:rFonts w:ascii="宋体"/>
                <w:b/>
                <w:color w:val="000000"/>
                <w:szCs w:val="21"/>
              </w:rPr>
              <w:t>施文强</w:t>
            </w:r>
            <w:bookmarkEnd w:id="2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1" w:name="联系人手机"/>
            <w:r>
              <w:rPr>
                <w:rFonts w:ascii="宋体"/>
                <w:b/>
                <w:color w:val="000000"/>
                <w:szCs w:val="21"/>
              </w:rPr>
              <w:t>13788829921</w:t>
            </w:r>
            <w:bookmarkEnd w:id="2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3" w:name="法人"/>
            <w:r>
              <w:rPr>
                <w:rFonts w:ascii="宋体"/>
                <w:b/>
                <w:color w:val="000000"/>
                <w:szCs w:val="21"/>
              </w:rPr>
              <w:t>施文强</w:t>
            </w:r>
            <w:bookmarkEnd w:id="2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4" w:name="管理者代表"/>
            <w:r>
              <w:rPr>
                <w:rFonts w:ascii="宋体"/>
                <w:b/>
                <w:color w:val="000000"/>
                <w:szCs w:val="21"/>
              </w:rPr>
              <w:t>洪朝钹</w:t>
            </w:r>
            <w:bookmarkEnd w:id="2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5" w:name="审核范围"/>
            <w:r>
              <w:t>喷胶棉</w:t>
            </w:r>
            <w:bookmarkEnd w:id="2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default" w:ascii="宋体" w:hAnsi="宋体"/>
                <w:color w:val="000000"/>
                <w:szCs w:val="21"/>
                <w:lang w:val="en-US" w:eastAsia="zh-CN"/>
              </w:rPr>
            </w:pPr>
            <w:r>
              <w:rPr>
                <w:rFonts w:hint="eastAsia" w:ascii="宋体" w:hAnsi="宋体"/>
                <w:color w:val="000000"/>
                <w:szCs w:val="21"/>
                <w:lang w:val="en-US" w:eastAsia="zh-CN"/>
              </w:rPr>
              <w:t>清梳联合机组→高速并条机→计算机控制的粗纱机→高效细纱机→进口自动络筒机——产品</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val="en-US" w:eastAsia="zh-CN"/>
              </w:rPr>
            </w:pPr>
            <w:r>
              <w:t>喷胶棉的生产所涉及的能源管理</w:t>
            </w:r>
            <w:r>
              <w:rPr>
                <w:rFonts w:hint="eastAsia"/>
                <w:lang w:val="en-US" w:eastAsia="zh-CN"/>
              </w:rPr>
              <w:t>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63"/>
        <w:gridCol w:w="110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363"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10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晋江市龙湖镇石厦工业小区</w:t>
            </w:r>
          </w:p>
        </w:tc>
        <w:tc>
          <w:tcPr>
            <w:tcW w:w="2267" w:type="dxa"/>
          </w:tcPr>
          <w:p>
            <w:pPr>
              <w:spacing w:before="40" w:after="40"/>
              <w:rPr>
                <w:rFonts w:eastAsia="黑体"/>
                <w:szCs w:val="21"/>
                <w:lang w:val="de-DE" w:eastAsia="ja-JP"/>
              </w:rPr>
            </w:pPr>
            <w:r>
              <w:rPr>
                <w:sz w:val="21"/>
                <w:szCs w:val="21"/>
              </w:rPr>
              <w:t>晋江市龙湖镇石厦工业小区</w:t>
            </w:r>
          </w:p>
        </w:tc>
        <w:tc>
          <w:tcPr>
            <w:tcW w:w="571" w:type="dxa"/>
            <w:vAlign w:val="center"/>
          </w:tcPr>
          <w:p>
            <w:pPr>
              <w:spacing w:before="40" w:after="40"/>
              <w:rPr>
                <w:rFonts w:eastAsia="黑体"/>
                <w:szCs w:val="21"/>
                <w:lang w:eastAsia="ja-JP"/>
              </w:rPr>
            </w:pPr>
            <w:bookmarkStart w:id="26" w:name="企业人数"/>
            <w:r>
              <w:rPr>
                <w:rFonts w:hint="eastAsia" w:ascii="宋体" w:hAnsi="宋体" w:cs="宋体"/>
                <w:color w:val="000000"/>
                <w:kern w:val="0"/>
                <w:szCs w:val="24"/>
              </w:rPr>
              <w:t>69</w:t>
            </w:r>
            <w:bookmarkEnd w:id="26"/>
          </w:p>
        </w:tc>
        <w:tc>
          <w:tcPr>
            <w:tcW w:w="2363" w:type="dxa"/>
            <w:vAlign w:val="center"/>
          </w:tcPr>
          <w:p>
            <w:pPr>
              <w:pStyle w:val="22"/>
              <w:rPr>
                <w:rFonts w:eastAsia="黑体" w:cs="Arial"/>
                <w:sz w:val="21"/>
                <w:szCs w:val="21"/>
                <w:lang w:val="en-US" w:eastAsia="ja-JP"/>
              </w:rPr>
            </w:pPr>
            <w:r>
              <w:t>喷胶棉的生产所涉及的能源管理</w:t>
            </w:r>
            <w:r>
              <w:rPr>
                <w:rFonts w:hint="eastAsia"/>
                <w:lang w:val="en-US" w:eastAsia="zh-CN"/>
              </w:rPr>
              <w:t>活动</w:t>
            </w:r>
          </w:p>
        </w:tc>
        <w:tc>
          <w:tcPr>
            <w:tcW w:w="1109" w:type="dxa"/>
            <w:vAlign w:val="center"/>
          </w:tcPr>
          <w:p>
            <w:pPr>
              <w:spacing w:before="40" w:after="40"/>
              <w:rPr>
                <w:rFonts w:hint="eastAsia"/>
                <w:lang w:val="en-US" w:eastAsia="zh-CN"/>
              </w:rPr>
            </w:pPr>
            <w:r>
              <w:rPr>
                <w:rFonts w:hint="eastAsia"/>
                <w:lang w:val="en-US" w:eastAsia="zh-CN"/>
              </w:rPr>
              <w:t>GB/T23331-2020</w:t>
            </w:r>
          </w:p>
          <w:p>
            <w:pPr>
              <w:pStyle w:val="2"/>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RB/T102-201</w:t>
            </w:r>
            <w:r>
              <w:rPr>
                <w:rFonts w:hint="eastAsia" w:cs="Times New Roman"/>
                <w:kern w:val="2"/>
                <w:sz w:val="21"/>
                <w:szCs w:val="24"/>
                <w:lang w:val="en-US" w:eastAsia="zh-CN" w:bidi="ar-SA"/>
              </w:rPr>
              <w:t>3</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63" w:type="dxa"/>
            <w:vAlign w:val="center"/>
          </w:tcPr>
          <w:p>
            <w:pPr>
              <w:spacing w:before="40" w:after="40"/>
              <w:rPr>
                <w:rFonts w:eastAsia="黑体"/>
                <w:szCs w:val="21"/>
                <w:lang w:eastAsia="ja-JP"/>
              </w:rPr>
            </w:pPr>
          </w:p>
        </w:tc>
        <w:tc>
          <w:tcPr>
            <w:tcW w:w="110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63" w:type="dxa"/>
            <w:vAlign w:val="center"/>
          </w:tcPr>
          <w:p>
            <w:pPr>
              <w:spacing w:before="40" w:after="40"/>
              <w:rPr>
                <w:rFonts w:eastAsia="黑体"/>
                <w:szCs w:val="21"/>
                <w:lang w:eastAsia="ja-JP"/>
              </w:rPr>
            </w:pPr>
          </w:p>
        </w:tc>
        <w:tc>
          <w:tcPr>
            <w:tcW w:w="110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63" w:type="dxa"/>
            <w:vAlign w:val="center"/>
          </w:tcPr>
          <w:p>
            <w:pPr>
              <w:spacing w:before="40" w:after="40"/>
              <w:rPr>
                <w:rFonts w:eastAsia="黑体"/>
                <w:szCs w:val="21"/>
                <w:lang w:eastAsia="ja-JP"/>
              </w:rPr>
            </w:pPr>
          </w:p>
        </w:tc>
        <w:tc>
          <w:tcPr>
            <w:tcW w:w="110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年10月24</w:t>
            </w:r>
            <w:bookmarkStart w:id="28" w:name="_GoBack"/>
            <w:bookmarkEnd w:id="28"/>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after="62" w:afterLines="20" w:line="360" w:lineRule="exact"/>
        <w:ind w:firstLine="207" w:firstLineChars="100"/>
        <w:rPr>
          <w:rFonts w:ascii="宋体" w:hAnsi="宋体"/>
          <w:b/>
          <w:color w:val="000000"/>
          <w:spacing w:val="-2"/>
          <w:szCs w:val="21"/>
        </w:rPr>
      </w:pPr>
    </w:p>
    <w:tbl>
      <w:tblPr>
        <w:tblStyle w:val="11"/>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hint="eastAsia" w:eastAsia="黑体"/>
                <w:b/>
                <w:szCs w:val="21"/>
                <w:lang w:val="en-US" w:eastAsia="zh-CN"/>
              </w:rPr>
              <w:t xml:space="preserve">GB/T23331-2020  idt  </w:t>
            </w: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7" w:name="二阶段审核日期"/>
            <w:r>
              <w:rPr>
                <w:rFonts w:hint="eastAsia" w:ascii="宋体"/>
                <w:b/>
                <w:color w:val="000000"/>
                <w:szCs w:val="21"/>
              </w:rPr>
              <w:t>2021-1</w:t>
            </w:r>
            <w:bookmarkEnd w:id="27"/>
            <w:r>
              <w:rPr>
                <w:rFonts w:hint="eastAsia" w:ascii="宋体"/>
                <w:b/>
                <w:color w:val="000000"/>
                <w:szCs w:val="21"/>
                <w:lang w:val="en-US" w:eastAsia="zh-CN"/>
              </w:rPr>
              <w:t>1月底</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val="en-US" w:eastAsia="zh-CN"/>
              </w:rPr>
            </w:pPr>
            <w:r>
              <w:rPr>
                <w:sz w:val="21"/>
                <w:szCs w:val="21"/>
              </w:rPr>
              <w:t>喷胶棉的生产所涉及的能源管理</w:t>
            </w:r>
            <w:r>
              <w:rPr>
                <w:rFonts w:hint="eastAsia"/>
                <w:sz w:val="21"/>
                <w:szCs w:val="21"/>
                <w:lang w:val="en-US" w:eastAsia="zh-CN"/>
              </w:rPr>
              <w:t>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u w:val="single"/>
        </w:rPr>
        <w:drawing>
          <wp:anchor distT="0" distB="0" distL="114300" distR="114300" simplePos="0" relativeHeight="251658240" behindDoc="1" locked="0" layoutInCell="1" allowOverlap="1">
            <wp:simplePos x="0" y="0"/>
            <wp:positionH relativeFrom="column">
              <wp:posOffset>1805940</wp:posOffset>
            </wp:positionH>
            <wp:positionV relativeFrom="paragraph">
              <wp:posOffset>-203200</wp:posOffset>
            </wp:positionV>
            <wp:extent cx="1060450" cy="405765"/>
            <wp:effectExtent l="0" t="0" r="6350" b="635"/>
            <wp:wrapTight wrapText="bothSides">
              <wp:wrapPolygon>
                <wp:start x="0" y="0"/>
                <wp:lineTo x="0" y="20958"/>
                <wp:lineTo x="21471" y="20958"/>
                <wp:lineTo x="21471" y="0"/>
                <wp:lineTo x="0" y="0"/>
              </wp:wrapPolygon>
            </wp:wrapTight>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pic:cNvPicPr>
                  </pic:nvPicPr>
                  <pic:blipFill>
                    <a:blip r:embed="rId6"/>
                    <a:stretch>
                      <a:fillRect/>
                    </a:stretch>
                  </pic:blipFill>
                  <pic:spPr>
                    <a:xfrm>
                      <a:off x="0" y="0"/>
                      <a:ext cx="1060450" cy="405765"/>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9"/>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提供的法律法规清单中“中华人民共和国节约能源法”、“重点用能单位管理办法”、“综合能耗计算通则”、“企业节能量计算方法”、“能源管理体系标准”等法律法规标准都是旧版本，请查询更新；</w:t>
            </w:r>
          </w:p>
        </w:tc>
        <w:tc>
          <w:tcPr>
            <w:tcW w:w="922" w:type="dxa"/>
            <w:vAlign w:val="center"/>
          </w:tcPr>
          <w:p>
            <w:pPr>
              <w:pStyle w:val="9"/>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能源</w:t>
            </w:r>
          </w:p>
        </w:tc>
        <w:tc>
          <w:tcPr>
            <w:tcW w:w="1133" w:type="dxa"/>
            <w:vAlign w:val="center"/>
          </w:tcPr>
          <w:p>
            <w:pPr>
              <w:pStyle w:val="9"/>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9"/>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9"/>
              <w:pBdr>
                <w:bottom w:val="none" w:color="auto" w:sz="0" w:space="0"/>
              </w:pBdr>
              <w:tabs>
                <w:tab w:val="center" w:pos="5737"/>
                <w:tab w:val="clear" w:pos="4153"/>
              </w:tabs>
              <w:jc w:val="both"/>
              <w:rPr>
                <w:rFonts w:hint="default"/>
                <w:color w:val="000000"/>
                <w:sz w:val="21"/>
                <w:szCs w:val="21"/>
                <w:lang w:val="en-US"/>
              </w:rPr>
            </w:pPr>
            <w:r>
              <w:rPr>
                <w:rFonts w:hint="eastAsia"/>
                <w:sz w:val="21"/>
                <w:szCs w:val="21"/>
                <w:lang w:val="en-US" w:eastAsia="zh-CN"/>
              </w:rPr>
              <w:t>提供的</w:t>
            </w:r>
            <w:r>
              <w:rPr>
                <w:rFonts w:hint="eastAsia"/>
                <w:color w:val="000000"/>
                <w:sz w:val="21"/>
                <w:szCs w:val="21"/>
                <w:lang w:val="en-US" w:eastAsia="zh-CN"/>
              </w:rPr>
              <w:t>法律法规清单显示为“</w:t>
            </w:r>
            <w:r>
              <w:rPr>
                <w:rFonts w:hint="eastAsia"/>
                <w:sz w:val="21"/>
                <w:szCs w:val="21"/>
              </w:rPr>
              <w:t>江西江州联合造船有限责任公司</w:t>
            </w:r>
            <w:r>
              <w:rPr>
                <w:rFonts w:hint="eastAsia"/>
                <w:color w:val="000000"/>
                <w:sz w:val="21"/>
                <w:szCs w:val="21"/>
                <w:lang w:val="en-US" w:eastAsia="zh-CN"/>
              </w:rPr>
              <w:t>”的资料，未提供晋江市亿泰隆化纤制造有限公司的法律法规及其他要求的在识别情况，请整改</w:t>
            </w:r>
          </w:p>
        </w:tc>
        <w:tc>
          <w:tcPr>
            <w:tcW w:w="922"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w:t>
            </w:r>
          </w:p>
        </w:tc>
        <w:tc>
          <w:tcPr>
            <w:tcW w:w="1133" w:type="dxa"/>
            <w:vAlign w:val="center"/>
          </w:tcPr>
          <w:p>
            <w:pPr>
              <w:pStyle w:val="9"/>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9"/>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提供的能源评审报告为2020年11月编制的，是体系建立前的资料，请提供</w:t>
            </w:r>
          </w:p>
        </w:tc>
        <w:tc>
          <w:tcPr>
            <w:tcW w:w="922"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w:t>
            </w:r>
          </w:p>
        </w:tc>
        <w:tc>
          <w:tcPr>
            <w:tcW w:w="1133"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6.3</w:t>
            </w:r>
          </w:p>
        </w:tc>
        <w:tc>
          <w:tcPr>
            <w:tcW w:w="934"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6191" w:type="dxa"/>
            <w:gridSpan w:val="2"/>
            <w:vAlign w:val="center"/>
          </w:tcPr>
          <w:p>
            <w:pPr>
              <w:pStyle w:val="9"/>
              <w:pBdr>
                <w:bottom w:val="none" w:color="auto" w:sz="0" w:space="0"/>
              </w:pBdr>
              <w:tabs>
                <w:tab w:val="center" w:pos="5737"/>
                <w:tab w:val="clear" w:pos="4153"/>
              </w:tabs>
              <w:jc w:val="both"/>
              <w:rPr>
                <w:rFonts w:hint="default" w:eastAsia="黑体"/>
                <w:color w:val="000000"/>
                <w:sz w:val="21"/>
                <w:szCs w:val="21"/>
                <w:lang w:val="en-US" w:eastAsia="zh-CN"/>
              </w:rPr>
            </w:pPr>
            <w:r>
              <w:rPr>
                <w:rFonts w:hint="eastAsia" w:cs="Times New Roman"/>
                <w:color w:val="000000"/>
                <w:sz w:val="21"/>
                <w:szCs w:val="21"/>
                <w:lang w:val="en-US" w:eastAsia="zh-CN"/>
              </w:rPr>
              <w:t>能源评审报告中附件1</w:t>
            </w:r>
            <w:r>
              <w:rPr>
                <w:rFonts w:hint="default" w:cs="Times New Roman"/>
                <w:color w:val="000000"/>
                <w:sz w:val="21"/>
                <w:szCs w:val="21"/>
                <w:lang w:val="en-US" w:eastAsia="zh-CN"/>
              </w:rPr>
              <w:t>”</w:t>
            </w:r>
            <w:r>
              <w:rPr>
                <w:rFonts w:hint="eastAsia" w:cs="Times New Roman"/>
                <w:color w:val="000000"/>
                <w:sz w:val="21"/>
                <w:szCs w:val="21"/>
                <w:lang w:val="en-US" w:eastAsia="zh-CN"/>
              </w:rPr>
              <w:t>识别能源法律、法规、标准、制度汇总表</w:t>
            </w:r>
            <w:r>
              <w:rPr>
                <w:rFonts w:hint="default" w:cs="Times New Roman"/>
                <w:color w:val="000000"/>
                <w:sz w:val="21"/>
                <w:szCs w:val="21"/>
                <w:lang w:val="en-US" w:eastAsia="zh-CN"/>
              </w:rPr>
              <w:t>”</w:t>
            </w:r>
            <w:r>
              <w:rPr>
                <w:rFonts w:hint="eastAsia" w:cs="Times New Roman"/>
                <w:color w:val="000000"/>
                <w:sz w:val="21"/>
                <w:szCs w:val="21"/>
                <w:lang w:val="en-US" w:eastAsia="zh-CN"/>
              </w:rPr>
              <w:t>中还有江苏省的相关法规条例要求，和浙江省的地标“印染布可比单位综合能耗限额及计算方法”企业也执行吗？请确认</w:t>
            </w:r>
          </w:p>
        </w:tc>
        <w:tc>
          <w:tcPr>
            <w:tcW w:w="922"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w:t>
            </w:r>
          </w:p>
        </w:tc>
        <w:tc>
          <w:tcPr>
            <w:tcW w:w="1133" w:type="dxa"/>
            <w:vAlign w:val="center"/>
          </w:tcPr>
          <w:p>
            <w:pPr>
              <w:pStyle w:val="9"/>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4.2</w:t>
            </w:r>
          </w:p>
        </w:tc>
        <w:tc>
          <w:tcPr>
            <w:tcW w:w="934"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6191" w:type="dxa"/>
            <w:gridSpan w:val="2"/>
            <w:vAlign w:val="center"/>
          </w:tcPr>
          <w:p>
            <w:pPr>
              <w:pStyle w:val="4"/>
              <w:spacing w:before="156" w:beforeLines="50" w:after="156" w:afterLines="50" w:line="400" w:lineRule="exact"/>
              <w:jc w:val="left"/>
              <w:rPr>
                <w:rFonts w:hint="default" w:ascii="Calibri" w:hAnsi="Calibri" w:eastAsia="宋体" w:cs="Times New Roman"/>
                <w:b w:val="0"/>
                <w:color w:val="000000"/>
                <w:kern w:val="2"/>
                <w:sz w:val="21"/>
                <w:szCs w:val="21"/>
                <w:lang w:val="en-US" w:eastAsia="zh-CN" w:bidi="ar-SA"/>
              </w:rPr>
            </w:pPr>
            <w:r>
              <w:rPr>
                <w:rFonts w:hint="eastAsia" w:ascii="Calibri" w:hAnsi="Calibri" w:eastAsia="宋体" w:cs="Times New Roman"/>
                <w:b w:val="0"/>
                <w:color w:val="000000"/>
                <w:kern w:val="2"/>
                <w:sz w:val="21"/>
                <w:szCs w:val="21"/>
                <w:lang w:val="en-US" w:eastAsia="zh-CN" w:bidi="ar-SA"/>
              </w:rPr>
              <w:t>能源评审报告中能源评审输出</w:t>
            </w:r>
            <w:r>
              <w:rPr>
                <w:rFonts w:hint="eastAsia" w:ascii="Calibri" w:hAnsi="Calibri" w:cs="Times New Roman"/>
                <w:b w:val="0"/>
                <w:color w:val="000000"/>
                <w:kern w:val="2"/>
                <w:sz w:val="21"/>
                <w:szCs w:val="21"/>
                <w:lang w:val="en-US" w:eastAsia="zh-CN" w:bidi="ar-SA"/>
              </w:rPr>
              <w:t>“</w:t>
            </w:r>
            <w:r>
              <w:rPr>
                <w:rFonts w:hint="eastAsia" w:ascii="Calibri" w:hAnsi="Calibri" w:eastAsia="宋体" w:cs="Times New Roman"/>
                <w:b w:val="0"/>
                <w:color w:val="000000"/>
                <w:kern w:val="2"/>
                <w:sz w:val="21"/>
                <w:szCs w:val="21"/>
                <w:lang w:val="en-US" w:eastAsia="zh-CN" w:bidi="ar-SA"/>
              </w:rPr>
              <w:t>6.1 能源绩效参数、能源基准和能源目标指标见附件2</w:t>
            </w:r>
            <w:r>
              <w:rPr>
                <w:rFonts w:hint="eastAsia" w:ascii="Calibri" w:hAnsi="Calibri" w:cs="Times New Roman"/>
                <w:b w:val="0"/>
                <w:color w:val="000000"/>
                <w:kern w:val="2"/>
                <w:sz w:val="21"/>
                <w:szCs w:val="21"/>
                <w:lang w:val="en-US" w:eastAsia="zh-CN" w:bidi="ar-SA"/>
              </w:rPr>
              <w:t>”,但报告中</w:t>
            </w:r>
            <w:r>
              <w:rPr>
                <w:rFonts w:hint="eastAsia" w:ascii="Calibri" w:hAnsi="Calibri" w:eastAsia="宋体" w:cs="Times New Roman"/>
                <w:b w:val="0"/>
                <w:color w:val="000000"/>
                <w:kern w:val="2"/>
                <w:sz w:val="21"/>
                <w:szCs w:val="21"/>
                <w:lang w:val="en-US" w:eastAsia="zh-CN" w:bidi="ar-SA"/>
              </w:rPr>
              <w:t>未见附件2，请提供</w:t>
            </w:r>
            <w:r>
              <w:rPr>
                <w:rFonts w:hint="eastAsia" w:ascii="Calibri" w:hAnsi="Calibri" w:cs="Times New Roman"/>
                <w:b w:val="0"/>
                <w:color w:val="000000"/>
                <w:kern w:val="2"/>
                <w:sz w:val="21"/>
                <w:szCs w:val="21"/>
                <w:lang w:val="en-US" w:eastAsia="zh-CN" w:bidi="ar-SA"/>
              </w:rPr>
              <w:t>。</w:t>
            </w:r>
          </w:p>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w:t>
            </w:r>
          </w:p>
        </w:tc>
        <w:tc>
          <w:tcPr>
            <w:tcW w:w="1133" w:type="dxa"/>
            <w:vAlign w:val="center"/>
          </w:tcPr>
          <w:p>
            <w:pPr>
              <w:pStyle w:val="9"/>
              <w:pBdr>
                <w:bottom w:val="none" w:color="auto" w:sz="0" w:space="0"/>
              </w:pBdr>
              <w:tabs>
                <w:tab w:val="center" w:pos="5737"/>
                <w:tab w:val="clear" w:pos="4153"/>
              </w:tabs>
              <w:jc w:val="both"/>
              <w:rPr>
                <w:rFonts w:hint="eastAsia" w:cs="Times New Roman"/>
                <w:color w:val="000000"/>
                <w:sz w:val="21"/>
                <w:szCs w:val="21"/>
                <w:lang w:val="en-US" w:eastAsia="zh-CN"/>
              </w:rPr>
            </w:pPr>
            <w:r>
              <w:rPr>
                <w:rFonts w:hint="eastAsia" w:cs="Times New Roman"/>
                <w:color w:val="000000"/>
                <w:sz w:val="21"/>
                <w:szCs w:val="21"/>
                <w:lang w:val="en-US" w:eastAsia="zh-CN"/>
              </w:rPr>
              <w:t>6.2/6.4/</w:t>
            </w:r>
          </w:p>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sz w:val="21"/>
                <w:szCs w:val="21"/>
                <w:lang w:val="en-US" w:eastAsia="zh-CN"/>
              </w:rPr>
              <w:t>6.5</w:t>
            </w:r>
          </w:p>
        </w:tc>
        <w:tc>
          <w:tcPr>
            <w:tcW w:w="934" w:type="dxa"/>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hint="eastAsia" w:ascii="宋体"/>
                <w:color w:val="000000"/>
                <w:sz w:val="21"/>
                <w:szCs w:val="21"/>
                <w:lang w:val="en-US" w:eastAsia="zh-CN"/>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anchor distT="0" distB="0" distL="0" distR="0" simplePos="0" relativeHeight="251659264" behindDoc="0" locked="0" layoutInCell="1" allowOverlap="1">
                  <wp:simplePos x="0" y="0"/>
                  <wp:positionH relativeFrom="column">
                    <wp:posOffset>669290</wp:posOffset>
                  </wp:positionH>
                  <wp:positionV relativeFrom="paragraph">
                    <wp:posOffset>-48260</wp:posOffset>
                  </wp:positionV>
                  <wp:extent cx="1060450" cy="239395"/>
                  <wp:effectExtent l="0" t="0" r="6350" b="1905"/>
                  <wp:wrapSquare wrapText="bothSides"/>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6" cstate="print"/>
                          <a:srcRect/>
                          <a:stretch>
                            <a:fillRect/>
                          </a:stretch>
                        </pic:blipFill>
                        <pic:spPr>
                          <a:xfrm>
                            <a:off x="0" y="0"/>
                            <a:ext cx="1060450" cy="239395"/>
                          </a:xfrm>
                          <a:prstGeom prst="rect">
                            <a:avLst/>
                          </a:prstGeom>
                          <a:noFill/>
                          <a:ln w="9525">
                            <a:noFill/>
                            <a:miter lim="800000"/>
                            <a:headEnd/>
                            <a:tailEnd/>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5"/>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8A31AF"/>
    <w:rsid w:val="11421129"/>
    <w:rsid w:val="179730E3"/>
    <w:rsid w:val="226C0FD3"/>
    <w:rsid w:val="28C12521"/>
    <w:rsid w:val="34E14402"/>
    <w:rsid w:val="4A0C2790"/>
    <w:rsid w:val="5360167C"/>
    <w:rsid w:val="574D651B"/>
    <w:rsid w:val="608B0B39"/>
    <w:rsid w:val="72490C7A"/>
    <w:rsid w:val="771524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outlineLvl w:val="0"/>
    </w:pPr>
    <w:rPr>
      <w:b/>
      <w:sz w:val="28"/>
      <w:szCs w:val="20"/>
    </w:rPr>
  </w:style>
  <w:style w:type="paragraph" w:styleId="5">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4"/>
    <w:semiHidden/>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7"/>
    <w:semiHidden/>
    <w:qFormat/>
    <w:locked/>
    <w:uiPriority w:val="99"/>
    <w:rPr>
      <w:rFonts w:ascii="Times New Roman" w:hAnsi="Times New Roman" w:eastAsia="宋体" w:cs="Times New Roman"/>
      <w:sz w:val="18"/>
      <w:szCs w:val="18"/>
    </w:rPr>
  </w:style>
  <w:style w:type="character" w:customStyle="1" w:styleId="15">
    <w:name w:val="页脚 Char"/>
    <w:link w:val="8"/>
    <w:qFormat/>
    <w:locked/>
    <w:uiPriority w:val="99"/>
    <w:rPr>
      <w:rFonts w:ascii="Times New Roman" w:hAnsi="Times New Roman" w:eastAsia="宋体" w:cs="Times New Roman"/>
      <w:sz w:val="18"/>
      <w:szCs w:val="18"/>
    </w:rPr>
  </w:style>
  <w:style w:type="character" w:customStyle="1" w:styleId="16">
    <w:name w:val="页眉 Char"/>
    <w:link w:val="9"/>
    <w:qFormat/>
    <w:locked/>
    <w:uiPriority w:val="99"/>
    <w:rPr>
      <w:rFonts w:ascii="Calibri" w:hAnsi="Calibri" w:eastAsia="宋体" w:cs="Times New Roman"/>
      <w:sz w:val="18"/>
      <w:szCs w:val="18"/>
    </w:rPr>
  </w:style>
  <w:style w:type="character" w:customStyle="1" w:styleId="17">
    <w:name w:val="副标题 Char"/>
    <w:link w:val="10"/>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 w:type="paragraph" w:customStyle="1" w:styleId="2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2021-12-01T05:12:26Z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