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晋江市亿泰隆化纤制造有限公司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舒昌林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李丽英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审核时间：</w:t>
            </w:r>
            <w:bookmarkStart w:id="2" w:name="审核日期"/>
            <w:r>
              <w:rPr>
                <w:color w:val="000000"/>
              </w:rPr>
              <w:t>2021年11月06日 上午至2021年11月07日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91350582743810266R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2002年10月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25日至长期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化纤制品、喷胶棉制造；货物或技术的进出口业务........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bookmarkStart w:id="3" w:name="审核范围"/>
            <w:r>
              <w:rPr>
                <w:sz w:val="21"/>
                <w:szCs w:val="21"/>
                <w:u w:val="single"/>
              </w:rPr>
              <w:t>喷胶棉的生产所涉及的能源管理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bookmarkStart w:id="4" w:name="生产地址"/>
            <w:r>
              <w:rPr>
                <w:sz w:val="21"/>
                <w:szCs w:val="21"/>
                <w:u w:val="single"/>
              </w:rPr>
              <w:t>晋江市龙湖镇石厦工业小区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  <w:u w:val="single"/>
              </w:rPr>
              <w:t>晋江市龙湖镇石厦工业小区</w:t>
            </w:r>
            <w:r>
              <w:rPr>
                <w:color w:val="000000"/>
                <w:szCs w:val="21"/>
                <w:u w:val="single"/>
              </w:rPr>
              <w:t xml:space="preserve">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清梳联合机组→高速并条机→计算机控制的粗纱机→高效细纱机→进口自动络筒机——产品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pStyle w:val="7"/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认证</w:t>
            </w:r>
            <w:r>
              <w:rPr>
                <w:rFonts w:hint="eastAsia"/>
                <w:color w:val="000000"/>
                <w:szCs w:val="21"/>
                <w:highlight w:val="none"/>
              </w:rPr>
              <w:t>范围内管理体系覆盖的人数（总计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69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。</w:t>
            </w:r>
            <w:bookmarkStart w:id="5" w:name="_GoBack"/>
            <w:bookmarkEnd w:id="5"/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59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>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</w:t>
            </w:r>
            <w:r>
              <w:rPr>
                <w:rFonts w:hint="eastAsia"/>
                <w:color w:val="000000"/>
                <w:szCs w:val="21"/>
                <w:highlight w:val="none"/>
              </w:rPr>
              <w:t>班（例如：早班</w:t>
            </w:r>
            <w:r>
              <w:rPr>
                <w:color w:val="000000"/>
                <w:szCs w:val="21"/>
                <w:highlight w:val="none"/>
              </w:rPr>
              <w:t xml:space="preserve">8:00- 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20</w:t>
            </w:r>
            <w:r>
              <w:rPr>
                <w:color w:val="000000"/>
                <w:szCs w:val="21"/>
                <w:highlight w:val="none"/>
              </w:rPr>
              <w:t xml:space="preserve">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；晚班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20</w:t>
            </w:r>
            <w:r>
              <w:rPr>
                <w:color w:val="000000"/>
                <w:szCs w:val="21"/>
                <w:highlight w:val="none"/>
              </w:rPr>
              <w:t xml:space="preserve">:00- 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8</w:t>
            </w:r>
            <w:r>
              <w:rPr>
                <w:color w:val="000000"/>
                <w:szCs w:val="21"/>
                <w:highlight w:val="none"/>
              </w:rPr>
              <w:t>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无外包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18"/>
                <w:u w:val="single"/>
              </w:rPr>
              <w:t>遵守法规 清洁生产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18"/>
                <w:u w:val="single"/>
                <w:lang w:val="en-US" w:eastAsia="zh-CN"/>
              </w:rPr>
              <w:t>节能降耗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18"/>
                <w:u w:val="single"/>
              </w:rPr>
              <w:t xml:space="preserve"> 创新改造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18"/>
                <w:u w:val="single"/>
                <w:lang w:val="en-US" w:eastAsia="zh-CN"/>
              </w:rPr>
              <w:t>能耗限额 持续改进</w:t>
            </w:r>
            <w:r>
              <w:rPr>
                <w:color w:val="000000"/>
                <w:szCs w:val="18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</w:t>
            </w:r>
            <w:r>
              <w:rPr>
                <w:rFonts w:hint="eastAsia"/>
                <w:color w:val="000000"/>
                <w:szCs w:val="18"/>
                <w:highlight w:val="none"/>
              </w:rPr>
              <w:t>织文件化的管理目标已制定，内容为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单位产品能耗</w:t>
            </w:r>
            <w:r>
              <w:rPr>
                <w:color w:val="000000"/>
                <w:szCs w:val="18"/>
                <w:u w:val="single"/>
              </w:rPr>
              <w:t xml:space="preserve">             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2428"/>
              <w:gridCol w:w="35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42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35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Times New Roman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2020年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产品能耗目标1.11</w:t>
                  </w: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sz w:val="21"/>
                      <w:szCs w:val="21"/>
                      <w:highlight w:val="none"/>
                      <w:lang w:val="en-US" w:eastAsia="zh-CN"/>
                    </w:rPr>
                    <w:t>kg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ce/</w:t>
                  </w: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sz w:val="21"/>
                      <w:szCs w:val="21"/>
                      <w:highlight w:val="none"/>
                      <w:lang w:val="en-US" w:eastAsia="zh-CN"/>
                    </w:rPr>
                    <w:t>kg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Times New Roman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242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eastAsia="宋体" w:cs="Times New Roman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综合能耗/产品产量</w:t>
                  </w:r>
                </w:p>
              </w:tc>
              <w:tc>
                <w:tcPr>
                  <w:tcW w:w="351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eastAsia="宋体" w:cs="Times New Roman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2020年实际完成0.47</w:t>
                  </w: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sz w:val="21"/>
                      <w:szCs w:val="21"/>
                      <w:highlight w:val="none"/>
                      <w:lang w:val="en-US" w:eastAsia="zh-CN"/>
                    </w:rPr>
                    <w:t>kg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ce/</w:t>
                  </w: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sz w:val="21"/>
                      <w:szCs w:val="21"/>
                      <w:highlight w:val="none"/>
                      <w:lang w:val="en-US" w:eastAsia="zh-CN"/>
                    </w:rPr>
                    <w:t>kg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Times New Roman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2021年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产品能耗目标</w:t>
                  </w:r>
                  <w:r>
                    <w:rPr>
                      <w:rFonts w:hint="eastAsia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0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.1</w:t>
                  </w:r>
                  <w:r>
                    <w:rPr>
                      <w:rFonts w:hint="eastAsia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5</w:t>
                  </w: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sz w:val="21"/>
                      <w:szCs w:val="21"/>
                      <w:highlight w:val="none"/>
                      <w:lang w:val="en-US" w:eastAsia="zh-CN"/>
                    </w:rPr>
                    <w:t>kg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ce/</w:t>
                  </w: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sz w:val="21"/>
                      <w:szCs w:val="21"/>
                      <w:highlight w:val="none"/>
                      <w:lang w:val="en-US" w:eastAsia="zh-CN"/>
                    </w:rPr>
                    <w:t>kg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Times New Roman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同上</w:t>
                  </w:r>
                </w:p>
              </w:tc>
              <w:tc>
                <w:tcPr>
                  <w:tcW w:w="242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Times New Roman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同上</w:t>
                  </w:r>
                </w:p>
              </w:tc>
              <w:tc>
                <w:tcPr>
                  <w:tcW w:w="35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202</w:t>
                  </w:r>
                  <w:r>
                    <w:rPr>
                      <w:rFonts w:hint="eastAsia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1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年</w:t>
                  </w:r>
                  <w:r>
                    <w:rPr>
                      <w:rFonts w:hint="eastAsia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1-9月份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实际完成</w:t>
                  </w:r>
                  <w:r>
                    <w:rPr>
                      <w:rFonts w:hint="eastAsia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，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0.</w:t>
                  </w:r>
                  <w:r>
                    <w:rPr>
                      <w:rFonts w:hint="eastAsia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19</w:t>
                  </w: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sz w:val="21"/>
                      <w:szCs w:val="21"/>
                      <w:highlight w:val="none"/>
                      <w:lang w:val="en-US" w:eastAsia="zh-CN"/>
                    </w:rPr>
                    <w:t>kg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ce/</w:t>
                  </w: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sz w:val="21"/>
                      <w:szCs w:val="21"/>
                      <w:highlight w:val="none"/>
                      <w:lang w:val="en-US" w:eastAsia="zh-CN"/>
                    </w:rPr>
                    <w:t>kg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9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不涉及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2020年能耗完成，2021年1-9月份未完成指标，主要原因是企业能源结构发生变化，原燃煤改为天然气，能源指标未进行调整。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建议增加综合能耗</w:t>
            </w:r>
            <w:r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部分法律法规未及时更新</w:t>
            </w:r>
            <w:r>
              <w:rPr>
                <w:rFonts w:hint="eastAsia"/>
                <w:color w:val="000000"/>
                <w:u w:val="single"/>
              </w:rPr>
              <w:t xml:space="preserve">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无淘汰落后设备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无限额要求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</w:t>
            </w:r>
            <w:r>
              <w:rPr>
                <w:rFonts w:hint="eastAsia"/>
                <w:color w:val="000000"/>
                <w:szCs w:val="18"/>
                <w:highlight w:val="none"/>
              </w:rPr>
              <w:t>解能源计量器具配备情况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二阶段详细确认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inline distT="0" distB="0" distL="114300" distR="114300">
                  <wp:extent cx="2049145" cy="3201035"/>
                  <wp:effectExtent l="0" t="0" r="8255" b="12065"/>
                  <wp:docPr id="2" name="图片 2" descr="现场3_202111071424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现场3_202111071424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320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color w:val="000000"/>
                <w:lang w:eastAsia="zh-CN"/>
              </w:rPr>
              <w:drawing>
                <wp:inline distT="0" distB="0" distL="114300" distR="114300">
                  <wp:extent cx="2008505" cy="3195320"/>
                  <wp:effectExtent l="0" t="0" r="10795" b="5080"/>
                  <wp:docPr id="3" name="图片 3" descr="现场2_202111071424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现场2_2021110714245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505" cy="319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color w:val="000000"/>
                <w:lang w:eastAsia="zh-CN"/>
              </w:rPr>
              <w:drawing>
                <wp:inline distT="0" distB="0" distL="114300" distR="114300">
                  <wp:extent cx="2102485" cy="3207385"/>
                  <wp:effectExtent l="0" t="0" r="5715" b="5715"/>
                  <wp:docPr id="4" name="图片 4" descr="现场1_20211107142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现场1_202111071424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320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锅炉房 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C549C9"/>
    <w:rsid w:val="1C5312C3"/>
    <w:rsid w:val="32813456"/>
    <w:rsid w:val="396E3F34"/>
    <w:rsid w:val="3C0E2D24"/>
    <w:rsid w:val="3DE35EEE"/>
    <w:rsid w:val="3F605FBF"/>
    <w:rsid w:val="56086787"/>
    <w:rsid w:val="57E66347"/>
    <w:rsid w:val="5F6F6893"/>
    <w:rsid w:val="777D2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107</TotalTime>
  <ScaleCrop>false</ScaleCrop>
  <LinksUpToDate>false</LinksUpToDate>
  <CharactersWithSpaces>18099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2021-12-02T12:36:55Z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