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再认证□监督（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一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sz w:val="21"/>
                <w:szCs w:val="21"/>
              </w:rPr>
              <w:t>浙江旭派克智能科技有限公司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等线" w:hAnsi="等线" w:eastAsia="等线" w:cs="等线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杨月芬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组织的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文件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控制清单（外来）未能完整覆盖组织适用的法律法规及标准，如综合类的《中华人民共和国环境保护法》、固体废弃物类的《中华人民共和国固体废物污染环境防治法》、噪声类的《工业企业厂界环境噪声排放标准》等，如适用的产品标准如GB 5226.1-2008 《机械电气安全 机械电气设备第1部分：通用技术条件》、GB/T 13384《机电产品包装通用技术条件》等，另《中华人民共和国合同法》已废止。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2021-12-09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2021-12-09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481" w:firstLineChars="26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审核员：                 日期：         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bookmarkStart w:id="12" w:name="_GoBack"/>
      <w:bookmarkEnd w:id="12"/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633B72"/>
    <w:rsid w:val="07C87661"/>
    <w:rsid w:val="1A323482"/>
    <w:rsid w:val="3AF038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wangxianhua</cp:lastModifiedBy>
  <cp:lastPrinted>2019-05-13T03:02:00Z</cp:lastPrinted>
  <dcterms:modified xsi:type="dcterms:W3CDTF">2021-12-09T05:45:11Z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