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55"/>
        <w:gridCol w:w="116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955"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1661" w:type="dxa"/>
            <w:vAlign w:val="center"/>
          </w:tcPr>
          <w:p>
            <w:pPr>
              <w:rPr>
                <w:rFonts w:hint="eastAsia" w:ascii="等线" w:hAnsi="等线" w:eastAsia="等线" w:cs="等线"/>
                <w:sz w:val="21"/>
                <w:szCs w:val="21"/>
                <w:lang w:val="en-US" w:eastAsia="zh-CN"/>
              </w:rPr>
            </w:pPr>
            <w:r>
              <w:rPr>
                <w:rFonts w:hint="eastAsia" w:ascii="等线" w:hAnsi="等线" w:eastAsia="等线" w:cs="等线"/>
                <w:sz w:val="21"/>
                <w:szCs w:val="21"/>
              </w:rPr>
              <w:t>受审核部门：管理</w:t>
            </w:r>
            <w:r>
              <w:rPr>
                <w:rFonts w:hint="eastAsia" w:ascii="等线" w:hAnsi="等线" w:eastAsia="等线" w:cs="等线"/>
                <w:sz w:val="21"/>
                <w:szCs w:val="21"/>
                <w:lang w:val="en-US" w:eastAsia="zh-CN"/>
              </w:rPr>
              <w:t>层（含财务）</w:t>
            </w:r>
            <w:r>
              <w:rPr>
                <w:rFonts w:hint="eastAsia" w:ascii="等线" w:hAnsi="等线" w:eastAsia="等线" w:cs="等线"/>
                <w:sz w:val="21"/>
                <w:szCs w:val="21"/>
                <w:lang w:eastAsia="zh-CN"/>
              </w:rPr>
              <w:t>；</w:t>
            </w:r>
            <w:r>
              <w:rPr>
                <w:rFonts w:hint="eastAsia" w:ascii="等线" w:hAnsi="等线" w:eastAsia="等线" w:cs="等线"/>
                <w:sz w:val="21"/>
                <w:szCs w:val="21"/>
              </w:rPr>
              <w:t>主管领导/陪同人员</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杨月芬/胡玉涛</w:t>
            </w:r>
          </w:p>
        </w:tc>
        <w:tc>
          <w:tcPr>
            <w:tcW w:w="851" w:type="dxa"/>
            <w:vMerge w:val="restart"/>
            <w:vAlign w:val="center"/>
          </w:tcPr>
          <w:p>
            <w:pPr>
              <w:rPr>
                <w:rFonts w:ascii="华文楷体" w:hAnsi="华文楷体" w:eastAsia="华文楷体"/>
                <w:sz w:val="24"/>
                <w:szCs w:val="24"/>
              </w:rPr>
            </w:pPr>
            <w:r>
              <w:rPr>
                <w:rFonts w:hint="eastAsia" w:ascii="华文楷体" w:hAnsi="华文楷体" w:eastAsia="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hint="eastAsia" w:ascii="等线" w:hAnsi="等线" w:eastAsia="等线" w:cs="等线"/>
                <w:sz w:val="21"/>
                <w:szCs w:val="21"/>
              </w:rPr>
            </w:pPr>
          </w:p>
        </w:tc>
        <w:tc>
          <w:tcPr>
            <w:tcW w:w="955" w:type="dxa"/>
            <w:vMerge w:val="continue"/>
            <w:vAlign w:val="center"/>
          </w:tcPr>
          <w:p>
            <w:pPr>
              <w:rPr>
                <w:rFonts w:hint="eastAsia" w:ascii="等线" w:hAnsi="等线" w:eastAsia="等线" w:cs="等线"/>
                <w:sz w:val="21"/>
                <w:szCs w:val="21"/>
              </w:rPr>
            </w:pPr>
          </w:p>
        </w:tc>
        <w:tc>
          <w:tcPr>
            <w:tcW w:w="11661" w:type="dxa"/>
            <w:vAlign w:val="center"/>
          </w:tcPr>
          <w:p>
            <w:pPr>
              <w:spacing w:before="120"/>
              <w:rPr>
                <w:rFonts w:hint="eastAsia" w:ascii="等线" w:hAnsi="等线" w:eastAsia="等线" w:cs="等线"/>
                <w:sz w:val="21"/>
                <w:szCs w:val="21"/>
                <w:lang w:val="en-US" w:eastAsia="zh-CN"/>
              </w:rPr>
            </w:pPr>
            <w:r>
              <w:rPr>
                <w:rFonts w:hint="eastAsia" w:ascii="等线" w:hAnsi="等线" w:eastAsia="等线" w:cs="等线"/>
                <w:sz w:val="21"/>
                <w:szCs w:val="21"/>
              </w:rPr>
              <w:t>审核员：</w:t>
            </w:r>
            <w:r>
              <w:rPr>
                <w:rFonts w:hint="eastAsia" w:ascii="等线" w:hAnsi="等线" w:eastAsia="等线" w:cs="等线"/>
                <w:sz w:val="21"/>
                <w:szCs w:val="21"/>
                <w:lang w:val="en-US" w:eastAsia="zh-CN"/>
              </w:rPr>
              <w:t>王献华；</w:t>
            </w:r>
            <w:r>
              <w:rPr>
                <w:rFonts w:hint="eastAsia" w:ascii="等线" w:hAnsi="等线" w:eastAsia="等线" w:cs="等线"/>
                <w:sz w:val="21"/>
                <w:szCs w:val="21"/>
              </w:rPr>
              <w:t>审核时间：</w:t>
            </w:r>
            <w:r>
              <w:rPr>
                <w:rFonts w:hint="eastAsia" w:ascii="等线" w:hAnsi="等线" w:eastAsia="等线" w:cs="等线"/>
                <w:sz w:val="21"/>
                <w:szCs w:val="21"/>
                <w:lang w:val="en-US" w:eastAsia="zh-CN"/>
              </w:rPr>
              <w:t>2021.12.2 14:00-17:30</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242" w:type="dxa"/>
            <w:vMerge w:val="continue"/>
            <w:vAlign w:val="center"/>
          </w:tcPr>
          <w:p>
            <w:pPr>
              <w:rPr>
                <w:rFonts w:hint="eastAsia" w:ascii="等线" w:hAnsi="等线" w:eastAsia="等线" w:cs="等线"/>
                <w:color w:val="FF0000"/>
                <w:sz w:val="21"/>
                <w:szCs w:val="21"/>
              </w:rPr>
            </w:pPr>
          </w:p>
        </w:tc>
        <w:tc>
          <w:tcPr>
            <w:tcW w:w="955" w:type="dxa"/>
            <w:vMerge w:val="continue"/>
            <w:vAlign w:val="center"/>
          </w:tcPr>
          <w:p>
            <w:pPr>
              <w:rPr>
                <w:rFonts w:hint="eastAsia" w:ascii="等线" w:hAnsi="等线" w:eastAsia="等线" w:cs="等线"/>
                <w:color w:val="FF0000"/>
                <w:sz w:val="21"/>
                <w:szCs w:val="21"/>
              </w:rPr>
            </w:pPr>
          </w:p>
        </w:tc>
        <w:tc>
          <w:tcPr>
            <w:tcW w:w="11661" w:type="dxa"/>
            <w:vAlign w:val="center"/>
          </w:tcPr>
          <w:p>
            <w:pPr>
              <w:adjustRightInd w:val="0"/>
              <w:snapToGrid w:val="0"/>
              <w:ind w:right="105" w:rightChars="50"/>
              <w:textAlignment w:val="baseline"/>
              <w:rPr>
                <w:rFonts w:hint="eastAsia" w:ascii="等线" w:hAnsi="等线" w:eastAsia="等线" w:cs="等线"/>
                <w:spacing w:val="-6"/>
                <w:sz w:val="21"/>
                <w:szCs w:val="21"/>
              </w:rPr>
            </w:pPr>
            <w:r>
              <w:rPr>
                <w:rFonts w:hint="eastAsia" w:ascii="等线" w:hAnsi="等线" w:eastAsia="等线" w:cs="等线"/>
                <w:spacing w:val="-6"/>
                <w:sz w:val="21"/>
                <w:szCs w:val="21"/>
              </w:rPr>
              <w:t>QE</w:t>
            </w:r>
            <w:r>
              <w:rPr>
                <w:rFonts w:hint="eastAsia" w:ascii="等线" w:hAnsi="等线" w:eastAsia="等线" w:cs="等线"/>
                <w:spacing w:val="-6"/>
                <w:sz w:val="21"/>
                <w:szCs w:val="21"/>
                <w:lang w:eastAsia="zh-CN"/>
              </w:rPr>
              <w:t>：</w:t>
            </w:r>
            <w:r>
              <w:rPr>
                <w:rFonts w:hint="eastAsia" w:ascii="等线" w:hAnsi="等线" w:eastAsia="等线" w:cs="等线"/>
                <w:spacing w:val="-6"/>
                <w:sz w:val="21"/>
                <w:szCs w:val="21"/>
              </w:rPr>
              <w:t>4.1理解组织及其环境、4.2理解相关方的需求和期望、4.3 确定管理体系的范围、4.4质量/环境/</w:t>
            </w:r>
            <w:r>
              <w:rPr>
                <w:rFonts w:hint="eastAsia" w:ascii="等线" w:hAnsi="等线" w:eastAsia="等线" w:cs="等线"/>
                <w:sz w:val="21"/>
                <w:szCs w:val="21"/>
              </w:rPr>
              <w:t>职业健康</w:t>
            </w:r>
            <w:r>
              <w:rPr>
                <w:rFonts w:hint="eastAsia" w:ascii="等线" w:hAnsi="等线" w:eastAsia="等线" w:cs="等线"/>
                <w:spacing w:val="-6"/>
                <w:sz w:val="21"/>
                <w:szCs w:val="21"/>
              </w:rPr>
              <w:t>安全管理体系及其过程、5.1领导作用和承诺、5.2质量/环境/</w:t>
            </w:r>
            <w:r>
              <w:rPr>
                <w:rFonts w:hint="eastAsia" w:ascii="等线" w:hAnsi="等线" w:eastAsia="等线" w:cs="等线"/>
                <w:sz w:val="21"/>
                <w:szCs w:val="21"/>
              </w:rPr>
              <w:t>职业健康</w:t>
            </w:r>
            <w:r>
              <w:rPr>
                <w:rFonts w:hint="eastAsia" w:ascii="等线" w:hAnsi="等线" w:eastAsia="等线" w:cs="等线"/>
                <w:spacing w:val="-6"/>
                <w:sz w:val="21"/>
                <w:szCs w:val="21"/>
              </w:rPr>
              <w:t>安全方针、5.3组织的岗位、职责和权限、6.1应对风险和机遇的措施</w:t>
            </w:r>
            <w:r>
              <w:rPr>
                <w:rFonts w:hint="eastAsia" w:ascii="等线" w:hAnsi="等线" w:eastAsia="等线" w:cs="等线"/>
                <w:spacing w:val="-6"/>
                <w:sz w:val="21"/>
                <w:szCs w:val="21"/>
                <w:lang w:val="en-US" w:eastAsia="zh-CN"/>
              </w:rPr>
              <w:t>策划（E6.1.1、6.1.4）</w:t>
            </w:r>
            <w:r>
              <w:rPr>
                <w:rFonts w:hint="eastAsia" w:ascii="等线" w:hAnsi="等线" w:eastAsia="等线" w:cs="等线"/>
                <w:spacing w:val="-6"/>
                <w:sz w:val="21"/>
                <w:szCs w:val="21"/>
              </w:rPr>
              <w:t>、6.2质量/环境目标及其实现的策划、Q6.3变更的策划、7.1.1（E7.1）资源总则、7.4沟通/信息交流、9.3管理评审、10.1改进</w:t>
            </w:r>
            <w:r>
              <w:rPr>
                <w:rFonts w:hint="eastAsia" w:ascii="等线" w:hAnsi="等线" w:eastAsia="等线" w:cs="等线"/>
                <w:spacing w:val="-6"/>
                <w:sz w:val="21"/>
                <w:szCs w:val="21"/>
                <w:lang w:val="en-US" w:eastAsia="zh-CN"/>
              </w:rPr>
              <w:t>总则</w:t>
            </w:r>
            <w:r>
              <w:rPr>
                <w:rFonts w:hint="eastAsia" w:ascii="等线" w:hAnsi="等线" w:eastAsia="等线" w:cs="等线"/>
                <w:spacing w:val="-6"/>
                <w:sz w:val="21"/>
                <w:szCs w:val="21"/>
              </w:rPr>
              <w:t>、10.3持续改进</w:t>
            </w:r>
          </w:p>
          <w:p>
            <w:pPr>
              <w:adjustRightInd w:val="0"/>
              <w:snapToGrid w:val="0"/>
              <w:ind w:right="105" w:rightChars="50"/>
              <w:textAlignment w:val="baseline"/>
              <w:rPr>
                <w:rFonts w:hint="eastAsia" w:ascii="等线" w:hAnsi="等线" w:eastAsia="等线" w:cs="等线"/>
                <w:color w:val="FF0000"/>
                <w:spacing w:val="-6"/>
                <w:sz w:val="21"/>
                <w:szCs w:val="21"/>
              </w:rPr>
            </w:pPr>
            <w:r>
              <w:rPr>
                <w:rFonts w:hint="eastAsia" w:ascii="等线" w:hAnsi="等线" w:eastAsia="等线" w:cs="等线"/>
                <w:spacing w:val="-6"/>
                <w:sz w:val="21"/>
                <w:szCs w:val="21"/>
              </w:rPr>
              <w:t>验证企业相关资质证明的有效性；国家/地方监督抽查情况；相关方投诉及处理情况；一阶段问题验证</w:t>
            </w:r>
            <w:r>
              <w:rPr>
                <w:rFonts w:hint="eastAsia" w:ascii="等线" w:hAnsi="等线" w:eastAsia="等线" w:cs="等线"/>
                <w:spacing w:val="-6"/>
                <w:sz w:val="21"/>
                <w:szCs w:val="21"/>
                <w:lang w:eastAsia="zh-CN"/>
              </w:rPr>
              <w:t>；</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242"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理解组织及其环境总要求</w:t>
            </w:r>
          </w:p>
          <w:p>
            <w:pPr>
              <w:spacing w:line="280" w:lineRule="exact"/>
              <w:rPr>
                <w:rFonts w:hint="eastAsia" w:ascii="等线" w:hAnsi="等线" w:eastAsia="等线" w:cs="等线"/>
                <w:b/>
                <w:sz w:val="21"/>
                <w:szCs w:val="21"/>
              </w:rPr>
            </w:pPr>
          </w:p>
        </w:tc>
        <w:tc>
          <w:tcPr>
            <w:tcW w:w="955" w:type="dxa"/>
          </w:tcPr>
          <w:p>
            <w:pPr>
              <w:spacing w:line="280" w:lineRule="exact"/>
              <w:rPr>
                <w:rFonts w:hint="eastAsia" w:ascii="等线" w:hAnsi="等线" w:eastAsia="等线" w:cs="等线"/>
                <w:sz w:val="21"/>
                <w:szCs w:val="21"/>
              </w:rPr>
            </w:pPr>
            <w:r>
              <w:rPr>
                <w:rFonts w:hint="eastAsia" w:ascii="等线" w:hAnsi="等线" w:eastAsia="等线" w:cs="等线"/>
                <w:sz w:val="21"/>
                <w:szCs w:val="21"/>
                <w:lang w:eastAsia="zh-CN"/>
              </w:rPr>
              <w:t>QE</w:t>
            </w:r>
            <w:r>
              <w:rPr>
                <w:rFonts w:hint="eastAsia" w:ascii="等线" w:hAnsi="等线" w:eastAsia="等线" w:cs="等线"/>
                <w:sz w:val="21"/>
                <w:szCs w:val="21"/>
              </w:rPr>
              <w:t>4.1</w:t>
            </w:r>
          </w:p>
          <w:p>
            <w:pPr>
              <w:spacing w:line="280" w:lineRule="exact"/>
              <w:rPr>
                <w:rFonts w:hint="eastAsia" w:ascii="等线" w:hAnsi="等线" w:eastAsia="等线" w:cs="等线"/>
                <w:b/>
                <w:sz w:val="21"/>
                <w:szCs w:val="21"/>
              </w:rPr>
            </w:pPr>
          </w:p>
        </w:tc>
        <w:tc>
          <w:tcPr>
            <w:tcW w:w="11661" w:type="dxa"/>
            <w:vAlign w:val="center"/>
          </w:tcPr>
          <w:p>
            <w:pPr>
              <w:keepNext w:val="0"/>
              <w:keepLines w:val="0"/>
              <w:widowControl/>
              <w:suppressLineNumbers w:val="0"/>
              <w:ind w:firstLine="420" w:firstLineChars="200"/>
              <w:rPr>
                <w:rFonts w:hint="eastAsia" w:ascii="等线" w:hAnsi="等线" w:eastAsia="等线" w:cs="等线"/>
                <w:sz w:val="21"/>
                <w:szCs w:val="21"/>
                <w:lang w:eastAsia="zh-CN"/>
              </w:rPr>
            </w:pPr>
            <w:r>
              <w:rPr>
                <w:rFonts w:hint="eastAsia" w:ascii="等线" w:hAnsi="等线" w:eastAsia="等线" w:cs="等线"/>
                <w:sz w:val="21"/>
                <w:szCs w:val="21"/>
                <w:lang w:val="en-US" w:eastAsia="zh-CN"/>
              </w:rPr>
              <w:t>组织2017</w:t>
            </w:r>
            <w:r>
              <w:rPr>
                <w:rFonts w:hint="eastAsia" w:ascii="等线" w:hAnsi="等线" w:eastAsia="等线" w:cs="等线"/>
                <w:sz w:val="21"/>
                <w:szCs w:val="21"/>
              </w:rPr>
              <w:t>年</w:t>
            </w:r>
            <w:r>
              <w:rPr>
                <w:rFonts w:hint="eastAsia" w:ascii="等线" w:hAnsi="等线" w:eastAsia="等线" w:cs="等线"/>
                <w:sz w:val="21"/>
                <w:szCs w:val="21"/>
                <w:lang w:val="en-US" w:eastAsia="zh-CN"/>
              </w:rPr>
              <w:t>01</w:t>
            </w:r>
            <w:r>
              <w:rPr>
                <w:rFonts w:hint="eastAsia" w:ascii="等线" w:hAnsi="等线" w:eastAsia="等线" w:cs="等线"/>
                <w:sz w:val="21"/>
                <w:szCs w:val="21"/>
              </w:rPr>
              <w:t>月</w:t>
            </w:r>
            <w:r>
              <w:rPr>
                <w:rFonts w:hint="eastAsia" w:ascii="等线" w:hAnsi="等线" w:eastAsia="等线" w:cs="等线"/>
                <w:sz w:val="21"/>
                <w:szCs w:val="21"/>
                <w:lang w:val="en-US" w:eastAsia="zh-CN"/>
              </w:rPr>
              <w:t>23日</w:t>
            </w:r>
            <w:r>
              <w:rPr>
                <w:rFonts w:hint="eastAsia" w:ascii="等线" w:hAnsi="等线" w:eastAsia="等线" w:cs="等线"/>
                <w:sz w:val="21"/>
                <w:szCs w:val="21"/>
              </w:rPr>
              <w:t>注册</w:t>
            </w:r>
            <w:r>
              <w:rPr>
                <w:rFonts w:hint="eastAsia" w:ascii="等线" w:hAnsi="等线" w:eastAsia="等线" w:cs="等线"/>
                <w:sz w:val="21"/>
                <w:szCs w:val="21"/>
                <w:lang w:eastAsia="zh-CN"/>
              </w:rPr>
              <w:t>；</w:t>
            </w:r>
            <w:r>
              <w:rPr>
                <w:rFonts w:hint="eastAsia" w:ascii="等线" w:hAnsi="等线" w:eastAsia="等线" w:cs="等线"/>
                <w:sz w:val="21"/>
                <w:szCs w:val="21"/>
              </w:rPr>
              <w:t>法人</w:t>
            </w:r>
            <w:r>
              <w:rPr>
                <w:rFonts w:hint="eastAsia" w:ascii="等线" w:hAnsi="等线" w:eastAsia="等线" w:cs="等线"/>
                <w:kern w:val="2"/>
                <w:sz w:val="21"/>
                <w:szCs w:val="21"/>
                <w:lang w:val="en-US" w:eastAsia="zh-CN" w:bidi="ar-SA"/>
              </w:rPr>
              <w:t>：薛彩霞；总经理：</w:t>
            </w:r>
            <w:r>
              <w:rPr>
                <w:rFonts w:hint="eastAsia" w:ascii="等线" w:hAnsi="等线" w:eastAsia="等线" w:cs="等线"/>
                <w:sz w:val="21"/>
                <w:szCs w:val="21"/>
                <w:lang w:val="en-US" w:eastAsia="zh-CN"/>
              </w:rPr>
              <w:t>黄中福</w:t>
            </w:r>
            <w:r>
              <w:rPr>
                <w:rFonts w:hint="eastAsia" w:ascii="等线" w:hAnsi="等线" w:eastAsia="等线" w:cs="等线"/>
                <w:sz w:val="21"/>
                <w:szCs w:val="21"/>
                <w:lang w:eastAsia="zh-CN"/>
              </w:rPr>
              <w:t>；</w:t>
            </w:r>
          </w:p>
          <w:p>
            <w:pPr>
              <w:keepNext w:val="0"/>
              <w:keepLines w:val="0"/>
              <w:widowControl/>
              <w:suppressLineNumbers w:val="0"/>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rPr>
              <w:t>注册地址</w:t>
            </w:r>
            <w:r>
              <w:rPr>
                <w:rFonts w:hint="eastAsia" w:ascii="等线" w:hAnsi="等线" w:eastAsia="等线" w:cs="等线"/>
                <w:sz w:val="21"/>
                <w:szCs w:val="21"/>
                <w:lang w:val="en-US" w:eastAsia="zh-CN"/>
              </w:rPr>
              <w:t>：</w:t>
            </w:r>
            <w:r>
              <w:rPr>
                <w:rFonts w:hint="eastAsia" w:ascii="等线" w:hAnsi="等线" w:eastAsia="等线" w:cs="等线"/>
                <w:sz w:val="21"/>
                <w:szCs w:val="21"/>
              </w:rPr>
              <w:t>浙江省湖州市吴兴区外溪路569号</w:t>
            </w:r>
            <w:r>
              <w:rPr>
                <w:rFonts w:hint="eastAsia" w:ascii="等线" w:hAnsi="等线" w:eastAsia="等线" w:cs="等线"/>
                <w:sz w:val="21"/>
                <w:szCs w:val="21"/>
                <w:lang w:val="en-US" w:eastAsia="zh-CN"/>
              </w:rPr>
              <w:t>；</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生产经营地址：</w:t>
            </w:r>
            <w:bookmarkStart w:id="0" w:name="生产地址"/>
            <w:r>
              <w:rPr>
                <w:rFonts w:hint="eastAsia" w:ascii="等线" w:hAnsi="等线" w:eastAsia="等线" w:cs="等线"/>
                <w:sz w:val="21"/>
                <w:szCs w:val="21"/>
              </w:rPr>
              <w:t>浙江省湖州市吴兴区外溪路569号</w:t>
            </w:r>
            <w:bookmarkEnd w:id="0"/>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经核实，营业执照有效，见附件。其</w:t>
            </w:r>
            <w:r>
              <w:rPr>
                <w:rFonts w:hint="eastAsia" w:ascii="等线" w:hAnsi="等线" w:eastAsia="等线" w:cs="等线"/>
                <w:color w:val="auto"/>
                <w:sz w:val="21"/>
                <w:szCs w:val="21"/>
                <w:lang w:val="en-US" w:eastAsia="zh-CN"/>
              </w:rPr>
              <w:t>固定污染源排污登记回执、环评报告、环评验收报告等见附</w:t>
            </w:r>
            <w:r>
              <w:rPr>
                <w:rFonts w:hint="eastAsia" w:ascii="等线" w:hAnsi="等线" w:eastAsia="等线" w:cs="等线"/>
                <w:sz w:val="21"/>
                <w:szCs w:val="21"/>
                <w:lang w:val="en-US" w:eastAsia="zh-CN"/>
              </w:rPr>
              <w:t>件。</w:t>
            </w:r>
          </w:p>
          <w:p>
            <w:pPr>
              <w:spacing w:line="280" w:lineRule="exact"/>
              <w:ind w:firstLine="420" w:firstLineChars="200"/>
              <w:rPr>
                <w:rFonts w:hint="eastAsia" w:ascii="等线" w:hAnsi="等线" w:eastAsia="等线" w:cs="等线"/>
                <w:b/>
                <w:color w:val="FF0000"/>
                <w:sz w:val="21"/>
                <w:szCs w:val="21"/>
              </w:rPr>
            </w:pPr>
            <w:r>
              <w:rPr>
                <w:rFonts w:hint="eastAsia" w:ascii="等线" w:hAnsi="等线" w:eastAsia="等线" w:cs="等线"/>
                <w:sz w:val="21"/>
                <w:szCs w:val="21"/>
                <w:lang w:val="en-US" w:eastAsia="zh-CN"/>
              </w:rPr>
              <w:t>管理者代表胡玉涛介绍：组织确定了与管理目标和战略方向相关并影响实现管理体系预期结果的各种内部因素（如企业文化等）和外部因素（如国际、国家、地区和当地的各种法律法规、技术、竞争、文化和社会因素等）。这些因素包括了需要考虑的正面和负面因素或条件。组织根据销售人员从市场、客户、网络等搜集到的信息并结合自身业务运作情况进行分析，通过分析对这些内部和外部因素的相关信息进行监视和评审以确保其充分和适宜。</w:t>
            </w:r>
          </w:p>
        </w:tc>
        <w:tc>
          <w:tcPr>
            <w:tcW w:w="851" w:type="dxa"/>
          </w:tcPr>
          <w:p>
            <w:pPr>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4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理解相关方的需求和期望</w:t>
            </w:r>
          </w:p>
        </w:tc>
        <w:tc>
          <w:tcPr>
            <w:tcW w:w="955"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QE4.2</w:t>
            </w:r>
          </w:p>
          <w:p>
            <w:p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经审核发现，组织考虑了以下相关方：①顾客②外部供方③员工④主管部门⑤地方社区⑥非政府组织等。组织对这些相关方及其要求的相关信息进行了监视和评审，以便于理解和持续满足相关方的需求和期望。</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目前顾客的主要需求和期望是：提供顾客满意的产品和服务。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24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确定管理体系的范围</w:t>
            </w:r>
          </w:p>
          <w:p>
            <w:pPr>
              <w:spacing w:line="280" w:lineRule="exact"/>
              <w:rPr>
                <w:rFonts w:hint="eastAsia" w:ascii="等线" w:hAnsi="等线" w:eastAsia="等线" w:cs="等线"/>
                <w:sz w:val="21"/>
                <w:szCs w:val="21"/>
                <w:lang w:val="en-US" w:eastAsia="zh-CN"/>
              </w:rPr>
            </w:pPr>
          </w:p>
        </w:tc>
        <w:tc>
          <w:tcPr>
            <w:tcW w:w="955"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 4.3</w:t>
            </w:r>
          </w:p>
          <w:p>
            <w:pPr>
              <w:spacing w:line="280" w:lineRule="exact"/>
              <w:rPr>
                <w:rFonts w:hint="eastAsia" w:ascii="等线" w:hAnsi="等线" w:eastAsia="等线" w:cs="等线"/>
                <w:sz w:val="21"/>
                <w:szCs w:val="21"/>
                <w:lang w:val="en-US" w:eastAsia="zh-CN"/>
              </w:rPr>
            </w:pPr>
          </w:p>
        </w:tc>
        <w:tc>
          <w:tcPr>
            <w:tcW w:w="11661"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经现场核实确认，组织管理体系范围为：</w:t>
            </w:r>
          </w:p>
          <w:p>
            <w:pPr>
              <w:spacing w:line="280" w:lineRule="exact"/>
              <w:ind w:firstLine="420" w:firstLineChars="200"/>
              <w:rPr>
                <w:rFonts w:hint="eastAsia" w:ascii="等线" w:hAnsi="等线" w:eastAsia="等线" w:cs="等线"/>
                <w:sz w:val="21"/>
                <w:szCs w:val="21"/>
                <w:lang w:val="en-US" w:eastAsia="zh-CN"/>
              </w:rPr>
            </w:pPr>
            <w:bookmarkStart w:id="1" w:name="审核范围"/>
            <w:r>
              <w:rPr>
                <w:rFonts w:hint="eastAsia" w:ascii="等线" w:hAnsi="等线" w:eastAsia="等线" w:cs="等线"/>
                <w:sz w:val="21"/>
                <w:szCs w:val="21"/>
                <w:lang w:val="en-US" w:eastAsia="zh-CN"/>
              </w:rPr>
              <w:t>Q：智能物流设备、智能包装设备的生产和服务</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E：智能包装设备的生产所涉及场所的相关环境管理活动</w:t>
            </w:r>
          </w:p>
          <w:bookmarkEnd w:id="1"/>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不适用条款：无</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外包过程：</w:t>
            </w:r>
            <w:r>
              <w:rPr>
                <w:rFonts w:hint="eastAsia" w:ascii="等线" w:hAnsi="等线" w:eastAsia="等线" w:cs="等线"/>
                <w:color w:val="auto"/>
                <w:sz w:val="21"/>
                <w:szCs w:val="21"/>
                <w:lang w:val="en-US" w:eastAsia="zh-CN"/>
              </w:rPr>
              <w:t>喷塑</w:t>
            </w:r>
            <w:r>
              <w:rPr>
                <w:rFonts w:hint="eastAsia" w:ascii="等线" w:hAnsi="等线" w:eastAsia="等线" w:cs="等线"/>
                <w:sz w:val="21"/>
                <w:szCs w:val="21"/>
                <w:lang w:val="en-US" w:eastAsia="zh-CN"/>
              </w:rPr>
              <w:t>。</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42" w:type="dxa"/>
          </w:tcPr>
          <w:p>
            <w:pPr>
              <w:rPr>
                <w:rFonts w:hint="eastAsia" w:ascii="等线" w:hAnsi="等线" w:eastAsia="等线" w:cs="等线"/>
                <w:sz w:val="21"/>
                <w:szCs w:val="21"/>
              </w:rPr>
            </w:pPr>
            <w:r>
              <w:rPr>
                <w:rFonts w:hint="eastAsia" w:ascii="等线" w:hAnsi="等线" w:eastAsia="等线" w:cs="等线"/>
                <w:sz w:val="21"/>
                <w:szCs w:val="21"/>
              </w:rPr>
              <w:t>管理体系及其过程</w:t>
            </w:r>
          </w:p>
          <w:p>
            <w:pPr>
              <w:ind w:firstLine="420" w:firstLineChars="200"/>
              <w:rPr>
                <w:rFonts w:hint="eastAsia" w:ascii="等线" w:hAnsi="等线" w:eastAsia="等线" w:cs="等线"/>
                <w:sz w:val="21"/>
                <w:szCs w:val="21"/>
              </w:rPr>
            </w:pPr>
          </w:p>
        </w:tc>
        <w:tc>
          <w:tcPr>
            <w:tcW w:w="955" w:type="dxa"/>
          </w:tcPr>
          <w:p>
            <w:pPr>
              <w:rPr>
                <w:rFonts w:hint="eastAsia" w:ascii="等线" w:hAnsi="等线" w:eastAsia="等线" w:cs="等线"/>
                <w:sz w:val="21"/>
                <w:szCs w:val="21"/>
              </w:rPr>
            </w:pPr>
            <w:r>
              <w:rPr>
                <w:rFonts w:hint="eastAsia" w:ascii="等线" w:hAnsi="等线" w:eastAsia="等线" w:cs="等线"/>
                <w:sz w:val="21"/>
                <w:szCs w:val="21"/>
                <w:lang w:eastAsia="zh-CN"/>
              </w:rPr>
              <w:t>QE</w:t>
            </w:r>
            <w:r>
              <w:rPr>
                <w:rFonts w:hint="eastAsia" w:ascii="等线" w:hAnsi="等线" w:eastAsia="等线" w:cs="等线"/>
                <w:sz w:val="21"/>
                <w:szCs w:val="21"/>
              </w:rPr>
              <w:t>4.4</w:t>
            </w:r>
          </w:p>
          <w:p>
            <w:pPr>
              <w:ind w:firstLine="420" w:firstLineChars="200"/>
              <w:rPr>
                <w:rFonts w:hint="eastAsia" w:ascii="等线" w:hAnsi="等线" w:eastAsia="等线" w:cs="等线"/>
                <w:sz w:val="21"/>
                <w:szCs w:val="21"/>
              </w:rPr>
            </w:pPr>
          </w:p>
        </w:tc>
        <w:tc>
          <w:tcPr>
            <w:tcW w:w="11661"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现场审核发现：</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1.组织设置了管理层、办公室、销售部、采购部、质检部、生产部等部门，职责和权限分配基本合理。</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2.组织的Q涉及的核心过程主要包括</w:t>
            </w:r>
            <w:r>
              <w:rPr>
                <w:rFonts w:hint="eastAsia" w:ascii="等线" w:hAnsi="等线" w:eastAsia="等线" w:cs="等线"/>
                <w:color w:val="000000"/>
                <w:sz w:val="21"/>
                <w:szCs w:val="21"/>
                <w:lang w:val="en-US" w:eastAsia="zh-CN"/>
              </w:rPr>
              <w:t>1）食品纸包装：钢材→切割→剪折</w:t>
            </w:r>
            <w:r>
              <w:rPr>
                <w:rFonts w:hint="eastAsia" w:ascii="等线" w:hAnsi="等线" w:eastAsia="等线" w:cs="等线"/>
                <w:color w:val="auto"/>
                <w:sz w:val="21"/>
                <w:szCs w:val="21"/>
                <w:lang w:val="en-US" w:eastAsia="zh-CN"/>
              </w:rPr>
              <w:t>→冲压→</w:t>
            </w:r>
            <w:r>
              <w:rPr>
                <w:rFonts w:hint="eastAsia" w:ascii="等线" w:hAnsi="等线" w:eastAsia="等线" w:cs="等线"/>
                <w:color w:val="000000"/>
                <w:sz w:val="21"/>
                <w:szCs w:val="21"/>
                <w:lang w:val="en-US" w:eastAsia="zh-CN"/>
              </w:rPr>
              <w:t>焊接→组装→调试→入库；E主要过程包括：①危险源的识别、评价和控制；②应急准备和响应等，组织的过程识别基本完整，输入输出基本充分，程序设计符合控制要求，相互关系清晰，基本符合策划要求。</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3.组织管理体系在运行、保持过程中，通过监视、测量等方式以完成评价和改进需求，满足策划要求。</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4.组织通过QE6.1的要求应对风险和机遇，具体见QE6.1记录。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领导作用与承诺总则</w:t>
            </w: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Q5.1.1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E5.1</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组织管理者代表杨月芬处了解到，组织管理层通过以下方式证实其领导作用和承诺：</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1）对管理体系的有效性负责；</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2）建立QE管理方针和目标，并确保与组织的环境相适应，与战略方向保持一致以； </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3）确保管理体系要求融入组织的设计、采购、生产、质检等业务过程；</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4）促进使用过程方法和机遇风险的思维；</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5）确保管理体系所需资源能被获得；</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6）建立良好的沟通机制，杜绝因沟通影响管理体系运行有效性；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7）确保管理体系实现其预期的结果；</w:t>
            </w:r>
          </w:p>
          <w:p>
            <w:pPr>
              <w:numPr>
                <w:ilvl w:val="0"/>
                <w:numId w:val="0"/>
              </w:numPr>
              <w:spacing w:line="280" w:lineRule="exact"/>
              <w:ind w:firstLine="420" w:firstLineChars="200"/>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8）促使员工积极参与，指导和支持他们为公司管理体系的有效性作出贡献；</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9）推动改进和创新；</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10）做好管理岗位的任命，以支持其他管理者在其负责领域证实其领导作用；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内容基本与标准要求一致，满足要求。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以顾客为关注焦点</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Q5.1.2</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管理者代表杨月芬介绍，组织管理层通过以下方面实现证实其以顾客为关注焦点的领导作用和承诺：</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a) 确定、理解并持续满足顾客要求以及适用的法律法规要求；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b) 确定和应对能够影响产品、产品符合性以及增强顾客满意能力的风险和机遇；</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c) 始终致力于增强顾客满意。</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顾客满意的监视和评审记录详见审核Q9.1.2条款。</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方针</w:t>
            </w:r>
          </w:p>
          <w:p>
            <w:pPr>
              <w:numPr>
                <w:ilvl w:val="0"/>
                <w:numId w:val="0"/>
              </w:numPr>
              <w:spacing w:line="280" w:lineRule="exact"/>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QE5.2</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组织三合一手册中的QE方针内容如下：</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质量方针：自强不息，与时俱进，厚积薄发，永续经营。</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环境和职业健康安全方针：保障安全  预防污染  遵守法规  持续改进。</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组织以质量、环境标准为基础，结合实际特制定管理方针，与组织的经营宗旨基本一致，能为制定目标提供框架，基本符合标准的要求。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管理者代表对方针内涵的理解较深刻，并通过会议、文件等手段保证管理方针为全体员工理解并落实到工作中，相关方也可通过组织获取相应的管理方针。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组织的岗位、职责和权限</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QE5.3</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组织确定了各部门、岗位人员职责、权限和相互关系，并对各级员工进行了必要的传达。组织任命杨月芬为管理体系的管理者代表，抽查组织三合一手册中其职责和权限规定如下：</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1.确保质量环境职业健康安全管理体系的过程得到建立、实施和保持；</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2.向最高管理者报告质量环境职业健康安全管理体系的业绩和任何改进的需求；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3.在整个组织内贯彻环境保护及职业健康安全意识，促进顾客要求意识的形成；</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4.就质量环境职业健康安全管理体系有关事宜对外联络，负责与认证机构联络与协调方面的事项。</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其职能和权限设置基本能够满足要求。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应对风险和机遇的措施策划</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Q6.1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E06.1.1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E6.1.4</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组织在策划管理体系时考虑了风险和机遇以及相应的应对措施，制定了XPK/CX26-2021</w:t>
            </w:r>
            <w:r>
              <w:rPr>
                <w:rFonts w:hint="eastAsia" w:ascii="等线" w:hAnsi="等线" w:eastAsia="等线" w:cs="等线"/>
                <w:sz w:val="21"/>
                <w:szCs w:val="21"/>
                <w:lang w:val="en-US" w:eastAsia="zh-CN"/>
              </w:rPr>
              <w:t>《风险和机遇的应对控制程序》，明确了风险和机遇事件的识别方法/途径、评估方式、制定主要风险和机遇事件的应对措施的要求、评价这些措施有效性的方法。</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程序文件要求，将需要应对的风险和机遇进行风险分析确定风险级别（一般风险、重大风险），在管理体系所确定的过程（如采购、生产、质检、销售等）中，整合制定针对性管理措施（如程序控制等）并作了有效性评价。</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提供了《风险评估应急策划记录及评价表》，内容包括业务范畴、风险事项、风险等级评估、应对措施及有效性评价等，组织根据业务活动过程，从各部门角度识别和评估了质量和环境风险和机遇，基本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目标及其实现的策划</w:t>
            </w:r>
          </w:p>
        </w:tc>
        <w:tc>
          <w:tcPr>
            <w:tcW w:w="955" w:type="dxa"/>
            <w:vAlign w:val="center"/>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QE：6.2</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实际制定了质量、环境、职业健康安全目标，在相关职能、层次和过程上建立目标考虑了适用的要求，均可测量，与方针基本一致，并以公告、会议形式传达、培训和内部沟通等形式进行了传达。其中质量目标与产品和服务的符合性以及增强顾客满意有关。</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组织的的质量、环境和职业健康安全目标如下：</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质量目标：1.产品合格率≥100%；2.产品出厂达标率≥100%；3.产品交货验收满意度95%；4.客户投诉率控制在0.5%以内。</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环境目标：遵守法律法规，坚持以节约、高效、环保为核心的商业模式，满足环境规定要求，确保社会和相关方满意；环境指标：1.废水、废气、噪声达标排放；2.各类废弃物按规定处置率100%。</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组织对质量、环境目标、指标在相关职能层次上予以分解，基本能够满足要求，具体见各部门6.2目标监视记录。</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查见《质量目标及实施一览表》、《环境目标、指标及管理方案执行情况检查表</w:t>
            </w:r>
            <w:r>
              <w:rPr>
                <w:rFonts w:hint="eastAsia" w:ascii="等线" w:hAnsi="等线" w:eastAsia="等线" w:cs="等线"/>
                <w:sz w:val="21"/>
                <w:szCs w:val="21"/>
                <w:lang w:val="en-US" w:eastAsia="zh-CN"/>
              </w:rPr>
              <w:t>》、《2021年度目标分解及考核结果》，均有相应的监视和评审记录，符合控制要求。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42" w:type="dxa"/>
          </w:tcPr>
          <w:p>
            <w:pPr>
              <w:spacing w:line="280" w:lineRule="exact"/>
              <w:jc w:val="left"/>
              <w:rPr>
                <w:rFonts w:hint="eastAsia" w:ascii="等线" w:hAnsi="等线" w:eastAsia="等线" w:cs="等线"/>
                <w:sz w:val="21"/>
                <w:szCs w:val="21"/>
              </w:rPr>
            </w:pPr>
            <w:r>
              <w:rPr>
                <w:rFonts w:hint="eastAsia" w:ascii="等线" w:hAnsi="等线" w:eastAsia="等线" w:cs="等线"/>
                <w:sz w:val="21"/>
                <w:szCs w:val="21"/>
              </w:rPr>
              <w:t>变更的策划</w:t>
            </w:r>
          </w:p>
          <w:p>
            <w:pPr>
              <w:spacing w:line="280" w:lineRule="exact"/>
              <w:rPr>
                <w:rFonts w:hint="eastAsia" w:ascii="等线" w:hAnsi="等线" w:eastAsia="等线" w:cs="等线"/>
                <w:sz w:val="21"/>
                <w:szCs w:val="21"/>
              </w:rPr>
            </w:pPr>
          </w:p>
        </w:tc>
        <w:tc>
          <w:tcPr>
            <w:tcW w:w="955"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Q6.3</w:t>
            </w:r>
          </w:p>
          <w:p>
            <w:pPr>
              <w:spacing w:line="280" w:lineRule="exact"/>
              <w:rPr>
                <w:rFonts w:hint="eastAsia" w:ascii="等线" w:hAnsi="等线" w:eastAsia="等线" w:cs="等线"/>
                <w:sz w:val="21"/>
                <w:szCs w:val="21"/>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经审核了解到，组织确定了需要对管理体系进行变更时应考虑以下内容：a）变更目的及其潜在后果；b）管理体系的完整性；c）资源的可获得性；d）责任和权限的分配与再分配。</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组织2021年1月6日QEO三合一体系建立、实施、保持以来，暂无对管理体系的变更。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资源总则</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Q7.1.1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E7.1</w:t>
            </w: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现场审核发现，组织配备了必要的人力资源、基础设施（如办公设施、生产设备、车间、仓库等），提供了基本的工作和生产环境、监视测量资源和必要的知识等，基本能够满足管理体系保持和改进的需求。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沟通</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QE7.4</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编制了XPK/CX11-2021《内外部沟通、协商、交流及相关方管理程序》，规定了职责、流程，覆盖了质量、环境、职业健康安全管理体系相关的内部沟通和外部沟通的方法和要求，包括：沟通什么；何时沟通；与谁沟通；如何沟通；由谁负责内容。</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组织内外部沟通具体体现在内部工作会议、质量、环境、职业健康安全例会、员工的培训、宣传栏等，与外部的沟通具体体现在与环保、安监部门及顾客和供方的合同签订、满意度调查、合规性问题处理等方面。</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现场查阅：内部交流记录如方针、目标完成情况、内审和管理评审报告、不符合信息等；外部交流如通过发放销采购销售合同等与相关方就产品质量等相关要求进行沟通。</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管理评审</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QE9.3</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组织编制了XPK/CX03-2021《管理评审管理程序》，规定了评审时间、评审内容、计划安排、实施和报告的编制要求，内容基本完整，符合策划要求。组织于2021年8月16日进行了QEO体系三合一的管理评审。</w:t>
            </w:r>
          </w:p>
          <w:p>
            <w:pPr>
              <w:numPr>
                <w:ilvl w:val="0"/>
                <w:numId w:val="0"/>
              </w:num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查见：</w:t>
            </w:r>
          </w:p>
          <w:p>
            <w:pPr>
              <w:numPr>
                <w:ilvl w:val="0"/>
                <w:numId w:val="0"/>
              </w:num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1.管理评审计划：包括评审依据、评</w:t>
            </w:r>
            <w:bookmarkStart w:id="3" w:name="_GoBack"/>
            <w:bookmarkEnd w:id="3"/>
            <w:r>
              <w:rPr>
                <w:rFonts w:hint="eastAsia" w:ascii="等线" w:hAnsi="等线" w:eastAsia="等线" w:cs="等线"/>
                <w:lang w:val="en-US" w:eastAsia="zh-CN"/>
              </w:rPr>
              <w:t>审目的、评审内容等，除评审依据有待进一步确认外，内容基本完整，符合标准要求。</w:t>
            </w:r>
          </w:p>
          <w:p>
            <w:pPr>
              <w:numPr>
                <w:ilvl w:val="0"/>
                <w:numId w:val="0"/>
              </w:num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2.评审会议记录：内容包括时间、地点、主持人、记录人、参与人员和会议内容等，除未见参与人员手签外，基本满足记录控制要求。</w:t>
            </w:r>
          </w:p>
          <w:p>
            <w:pPr>
              <w:numPr>
                <w:ilvl w:val="0"/>
                <w:numId w:val="0"/>
              </w:numPr>
              <w:spacing w:line="280" w:lineRule="exact"/>
              <w:ind w:firstLine="420" w:firstLineChars="200"/>
              <w:rPr>
                <w:rFonts w:hint="eastAsia" w:ascii="等线" w:hAnsi="等线" w:eastAsia="等线" w:cs="等线"/>
                <w:lang w:val="en-US" w:eastAsia="zh-CN"/>
              </w:rPr>
            </w:pPr>
            <w:r>
              <w:rPr>
                <w:rFonts w:hint="eastAsia" w:ascii="等线" w:hAnsi="等线" w:eastAsia="等线" w:cs="等线"/>
                <w:lang w:val="en-US" w:eastAsia="zh-CN"/>
              </w:rPr>
              <w:t>3.管理评审报告：主要内容包括输入、输出和结论，输入内容基本完整，其中输出改进建议管理评审改进的问题如下：</w:t>
            </w:r>
          </w:p>
          <w:p>
            <w:pPr>
              <w:numPr>
                <w:ilvl w:val="0"/>
                <w:numId w:val="0"/>
              </w:numPr>
              <w:spacing w:line="280" w:lineRule="exact"/>
              <w:rPr>
                <w:rFonts w:hint="eastAsia" w:ascii="等线" w:hAnsi="等线" w:eastAsia="等线" w:cs="等线"/>
                <w:lang w:val="en-US" w:eastAsia="zh-CN"/>
              </w:rPr>
            </w:pPr>
            <w:bookmarkStart w:id="2" w:name="OLE_LINK1"/>
            <w:r>
              <w:rPr>
                <w:rFonts w:hint="eastAsia" w:ascii="等线" w:hAnsi="等线" w:eastAsia="等线" w:cs="等线"/>
                <w:lang w:val="en-US" w:eastAsia="zh-CN"/>
              </w:rPr>
              <w:t>①进一步建设风险管理体系，提高风险管理能力；</w:t>
            </w:r>
            <w:r>
              <w:rPr>
                <w:rFonts w:hint="eastAsia" w:ascii="等线" w:hAnsi="等线" w:eastAsia="等线" w:cs="等线"/>
                <w:lang w:val="en-US" w:eastAsia="zh-CN"/>
              </w:rPr>
              <w:fldChar w:fldCharType="begin"/>
            </w:r>
            <w:r>
              <w:rPr>
                <w:rFonts w:hint="eastAsia" w:ascii="等线" w:hAnsi="等线" w:eastAsia="等线" w:cs="等线"/>
                <w:lang w:val="en-US" w:eastAsia="zh-CN"/>
              </w:rPr>
              <w:instrText xml:space="preserve"> = 2 \* GB3 \* MERGEFORMAT </w:instrText>
            </w:r>
            <w:r>
              <w:rPr>
                <w:rFonts w:hint="eastAsia" w:ascii="等线" w:hAnsi="等线" w:eastAsia="等线" w:cs="等线"/>
                <w:lang w:val="en-US" w:eastAsia="zh-CN"/>
              </w:rPr>
              <w:fldChar w:fldCharType="separate"/>
            </w:r>
            <w:r>
              <w:rPr>
                <w:rFonts w:hint="eastAsia" w:ascii="等线" w:hAnsi="等线" w:eastAsia="等线" w:cs="等线"/>
                <w:lang w:val="en-US" w:eastAsia="zh-CN"/>
              </w:rPr>
              <w:t>②</w:t>
            </w:r>
            <w:r>
              <w:rPr>
                <w:rFonts w:hint="eastAsia" w:ascii="等线" w:hAnsi="等线" w:eastAsia="等线" w:cs="等线"/>
                <w:lang w:val="en-US" w:eastAsia="zh-CN"/>
              </w:rPr>
              <w:fldChar w:fldCharType="end"/>
            </w:r>
            <w:bookmarkEnd w:id="2"/>
            <w:r>
              <w:rPr>
                <w:rFonts w:hint="eastAsia" w:ascii="等线" w:hAnsi="等线" w:eastAsia="等线" w:cs="等线"/>
                <w:lang w:val="en-US" w:eastAsia="zh-CN"/>
              </w:rPr>
              <w:t>推进制度创新，促进管理水平不断提高等；结论如下：QEO基本有效、充分和适宜，执行以上改进建议，加大QEO改进力度，以确保QEO整体绩效的提高。</w:t>
            </w:r>
          </w:p>
          <w:p>
            <w:pPr>
              <w:numPr>
                <w:ilvl w:val="0"/>
                <w:numId w:val="0"/>
              </w:numPr>
              <w:spacing w:line="280" w:lineRule="exact"/>
              <w:ind w:firstLine="420" w:firstLineChars="200"/>
              <w:rPr>
                <w:rFonts w:hint="eastAsia" w:ascii="等线" w:hAnsi="等线" w:eastAsia="等线" w:cs="等线"/>
                <w:lang w:val="en-US" w:eastAsia="zh-CN"/>
              </w:rPr>
            </w:pPr>
            <w:r>
              <w:rPr>
                <w:rFonts w:hint="eastAsia" w:ascii="等线" w:hAnsi="等线" w:eastAsia="等线" w:cs="等线"/>
                <w:color w:val="auto"/>
                <w:lang w:val="en-US" w:eastAsia="zh-CN"/>
              </w:rPr>
              <w:t>4.管理评审中有提到输出资料《改进计划》：但未见具体改进计划记录。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改进及其持续性</w:t>
            </w: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QE10.1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/10.3</w:t>
            </w:r>
          </w:p>
          <w:p>
            <w:pPr>
              <w:numPr>
                <w:ilvl w:val="0"/>
                <w:numId w:val="0"/>
              </w:numPr>
              <w:spacing w:line="280" w:lineRule="exact"/>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综合全部审核证据发现，组织通过目标监视、内部审核、管理评审、不合格和纠正措施等各项活动落实改进要求，相关管理活动包括绩效和有效性监视等得到有效开展，改进的要求基本得到满足。  </w:t>
            </w:r>
          </w:p>
          <w:p>
            <w:pPr>
              <w:numPr>
                <w:ilvl w:val="0"/>
                <w:numId w:val="0"/>
              </w:numPr>
              <w:spacing w:line="280" w:lineRule="exact"/>
              <w:ind w:firstLine="42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具体改进见各部门10.2条款记录。</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组织确定并选择改进机会，采取必要措施，满足顾客要求和增强顾客满意。</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包括：</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a) 改进产品或服务，以满足要求并关注未来的需求和期望；</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b) 纠正或减少不利影响；</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c) 改进管理体系绩效和有效性。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对以下方面所需的监视、测量、分析和改进过程进行策划和实施：</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1.证实产品生产和和销售满足规定的要求；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2.确保管理体系的符合性；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3.持续改进管理体系的有效性。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根据不同过程、不同产品和不同要求，采取不同的方法进行监视、测量和分析。</w:t>
            </w:r>
          </w:p>
          <w:p>
            <w:pPr>
              <w:numPr>
                <w:ilvl w:val="0"/>
                <w:numId w:val="0"/>
              </w:numPr>
              <w:spacing w:line="280" w:lineRule="exact"/>
              <w:ind w:firstLine="42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组织利用管理方针、目标、内审和外审、数据分析、纠正和预防措施以及管理评审，识别任何改进的机会，持续改进管理体系的适宜性、充分性和有效性。详见相关条款审核记录。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42" w:type="dxa"/>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人数</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组织现有员工45人，与申报管理体系人数基本一致。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42" w:type="dxa"/>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事故</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组织管理体系自运行以来，未发生质量、环境安全事故。</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2" w:type="dxa"/>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顾客投诉</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管理体系运行期间，组织有收到顾客的质量反馈记录，具体见生产部QE8.7，无投诉记录。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42" w:type="dxa"/>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上级主管单位监督抽查</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近一年无上级主管部门对公司的在质量、环境、职业健康安全监督抽查</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遵纪守法情况</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目前组织经营过程中没有发生违反质量、环境和职业健康安全相关法律法规及其他要求的情况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2" w:type="dxa"/>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一阶段问题整改</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一阶段提出问题已整改。</w:t>
            </w:r>
          </w:p>
        </w:tc>
        <w:tc>
          <w:tcPr>
            <w:tcW w:w="851" w:type="dxa"/>
          </w:tcPr>
          <w:p>
            <w:pPr>
              <w:rPr>
                <w:color w:val="FF0000"/>
              </w:rPr>
            </w:pPr>
          </w:p>
        </w:tc>
      </w:tr>
    </w:tbl>
    <w:p>
      <w:pPr>
        <w:pStyle w:val="7"/>
      </w:pPr>
    </w:p>
    <w:p>
      <w:pPr>
        <w:pStyle w:val="7"/>
        <w:rPr>
          <w:rFonts w:hint="default" w:ascii="楷体" w:hAnsi="楷体" w:eastAsia="楷体"/>
          <w:sz w:val="24"/>
          <w:szCs w:val="24"/>
          <w:lang w:val="en-US" w:eastAsia="zh-CN"/>
        </w:rPr>
      </w:pPr>
      <w:r>
        <w:rPr>
          <w:rFonts w:hint="eastAsia" w:ascii="楷体" w:hAnsi="楷体" w:eastAsia="楷体"/>
          <w:sz w:val="24"/>
          <w:szCs w:val="24"/>
        </w:rPr>
        <w:t>说明：不符合标注N</w:t>
      </w:r>
      <w:r>
        <w:rPr>
          <w:rFonts w:hint="eastAsia" w:ascii="楷体" w:hAnsi="楷体" w:eastAsia="楷体"/>
          <w:sz w:val="24"/>
          <w:szCs w:val="24"/>
          <w:lang w:val="en-US" w:eastAsia="zh-CN"/>
        </w:rPr>
        <w:t>。</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638EF"/>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004F"/>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011E7A06"/>
    <w:rsid w:val="057C202F"/>
    <w:rsid w:val="06380A36"/>
    <w:rsid w:val="063C25A1"/>
    <w:rsid w:val="06FD1C29"/>
    <w:rsid w:val="07A4486E"/>
    <w:rsid w:val="087F1978"/>
    <w:rsid w:val="0A5C1D75"/>
    <w:rsid w:val="0B1F7084"/>
    <w:rsid w:val="0B4C2E7F"/>
    <w:rsid w:val="0C160E49"/>
    <w:rsid w:val="0C2B0239"/>
    <w:rsid w:val="0CD619C5"/>
    <w:rsid w:val="0D3737A0"/>
    <w:rsid w:val="0E4D3F08"/>
    <w:rsid w:val="0F1A5E6A"/>
    <w:rsid w:val="108219C2"/>
    <w:rsid w:val="10DE0E5A"/>
    <w:rsid w:val="112A2839"/>
    <w:rsid w:val="118D2ADD"/>
    <w:rsid w:val="14457E71"/>
    <w:rsid w:val="14F85F8E"/>
    <w:rsid w:val="16353C00"/>
    <w:rsid w:val="1851776E"/>
    <w:rsid w:val="19122D9F"/>
    <w:rsid w:val="1C0F41E1"/>
    <w:rsid w:val="1C111326"/>
    <w:rsid w:val="1D2A7848"/>
    <w:rsid w:val="1D2C46FF"/>
    <w:rsid w:val="1E5B1377"/>
    <w:rsid w:val="1EC70B1E"/>
    <w:rsid w:val="1F8D1CC6"/>
    <w:rsid w:val="20787CB3"/>
    <w:rsid w:val="21C5052E"/>
    <w:rsid w:val="245E76FD"/>
    <w:rsid w:val="249B49DE"/>
    <w:rsid w:val="27156060"/>
    <w:rsid w:val="274B12C3"/>
    <w:rsid w:val="291E06B3"/>
    <w:rsid w:val="29636C1E"/>
    <w:rsid w:val="2A4E3856"/>
    <w:rsid w:val="2B4855DD"/>
    <w:rsid w:val="2C9D6971"/>
    <w:rsid w:val="2D22001E"/>
    <w:rsid w:val="2DDF2977"/>
    <w:rsid w:val="2DEE0C03"/>
    <w:rsid w:val="2FF02762"/>
    <w:rsid w:val="2FF1178F"/>
    <w:rsid w:val="321C4E46"/>
    <w:rsid w:val="32700042"/>
    <w:rsid w:val="3309674B"/>
    <w:rsid w:val="33E52369"/>
    <w:rsid w:val="35251994"/>
    <w:rsid w:val="35693172"/>
    <w:rsid w:val="35C27128"/>
    <w:rsid w:val="389A53B4"/>
    <w:rsid w:val="394F0285"/>
    <w:rsid w:val="3A6350E9"/>
    <w:rsid w:val="3A655497"/>
    <w:rsid w:val="3E7B0894"/>
    <w:rsid w:val="3F7C36E7"/>
    <w:rsid w:val="3F8A0269"/>
    <w:rsid w:val="41266FCC"/>
    <w:rsid w:val="41857EAB"/>
    <w:rsid w:val="42622B53"/>
    <w:rsid w:val="428B4B01"/>
    <w:rsid w:val="451C407E"/>
    <w:rsid w:val="45E546B8"/>
    <w:rsid w:val="477B65CF"/>
    <w:rsid w:val="4A251A07"/>
    <w:rsid w:val="4AB10F19"/>
    <w:rsid w:val="4B9F4176"/>
    <w:rsid w:val="4CE32A25"/>
    <w:rsid w:val="4D931291"/>
    <w:rsid w:val="4F4626F3"/>
    <w:rsid w:val="4F541FFE"/>
    <w:rsid w:val="4F5902F9"/>
    <w:rsid w:val="506C2B19"/>
    <w:rsid w:val="51E61D67"/>
    <w:rsid w:val="5498048B"/>
    <w:rsid w:val="556A2AB7"/>
    <w:rsid w:val="55BB047A"/>
    <w:rsid w:val="563B72F8"/>
    <w:rsid w:val="57572313"/>
    <w:rsid w:val="58373ECD"/>
    <w:rsid w:val="599B3003"/>
    <w:rsid w:val="5D211DB5"/>
    <w:rsid w:val="5D252FC1"/>
    <w:rsid w:val="5EA12B9A"/>
    <w:rsid w:val="5F502803"/>
    <w:rsid w:val="5FC9520A"/>
    <w:rsid w:val="611F6C91"/>
    <w:rsid w:val="6181075C"/>
    <w:rsid w:val="61D125C8"/>
    <w:rsid w:val="626667C5"/>
    <w:rsid w:val="62A80882"/>
    <w:rsid w:val="63691DC0"/>
    <w:rsid w:val="643B4F0D"/>
    <w:rsid w:val="65510D5D"/>
    <w:rsid w:val="66C96E18"/>
    <w:rsid w:val="67366F9E"/>
    <w:rsid w:val="675D1F43"/>
    <w:rsid w:val="677D5E3A"/>
    <w:rsid w:val="695D4BD3"/>
    <w:rsid w:val="6AD3765D"/>
    <w:rsid w:val="6CDF2E3F"/>
    <w:rsid w:val="6DF51A8E"/>
    <w:rsid w:val="6E7F4B8D"/>
    <w:rsid w:val="731E2CB7"/>
    <w:rsid w:val="771442E8"/>
    <w:rsid w:val="794F33AE"/>
    <w:rsid w:val="7D315490"/>
    <w:rsid w:val="7FFE3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spacing w:line="400" w:lineRule="atLeast"/>
      <w:jc w:val="center"/>
      <w:outlineLvl w:val="1"/>
    </w:pPr>
    <w:rPr>
      <w:spacing w:val="8"/>
      <w:sz w:val="36"/>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Plain Text"/>
    <w:basedOn w:val="1"/>
    <w:qFormat/>
    <w:uiPriority w:val="0"/>
    <w:rPr>
      <w:rFonts w:ascii="宋体" w:hAnsi="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2501</Words>
  <Characters>14261</Characters>
  <Lines>118</Lines>
  <Paragraphs>33</Paragraphs>
  <TotalTime>0</TotalTime>
  <ScaleCrop>false</ScaleCrop>
  <LinksUpToDate>false</LinksUpToDate>
  <CharactersWithSpaces>16729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wangxianhua</cp:lastModifiedBy>
  <dcterms:modified xsi:type="dcterms:W3CDTF">2021-12-09T00:50:00Z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F90B8605125C46DFBD1ADA302EAA73A7</vt:lpwstr>
  </property>
</Properties>
</file>