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ascii="楷体" w:hAnsi="楷体" w:eastAsia="楷体"/>
                <w:sz w:val="24"/>
                <w:szCs w:val="24"/>
              </w:rPr>
            </w:pPr>
            <w:r>
              <w:rPr>
                <w:rFonts w:hint="eastAsia" w:ascii="楷体" w:hAnsi="楷体" w:eastAsia="楷体"/>
                <w:sz w:val="24"/>
                <w:szCs w:val="24"/>
              </w:rPr>
              <w:t>过程与活动、</w:t>
            </w:r>
          </w:p>
          <w:p>
            <w:pPr>
              <w:spacing w:line="360" w:lineRule="auto"/>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spacing w:line="360" w:lineRule="auto"/>
              <w:rPr>
                <w:rFonts w:hint="default" w:ascii="楷体" w:hAnsi="楷体" w:eastAsia="楷体"/>
                <w:sz w:val="24"/>
                <w:szCs w:val="24"/>
                <w:lang w:val="en-US" w:eastAsia="zh-CN"/>
              </w:rPr>
            </w:pPr>
            <w:r>
              <w:rPr>
                <w:rFonts w:hint="eastAsia" w:ascii="楷体" w:hAnsi="楷体" w:eastAsia="楷体"/>
                <w:sz w:val="24"/>
                <w:szCs w:val="24"/>
              </w:rPr>
              <w:t>受审核部门：生产部     主管领</w:t>
            </w:r>
            <w:r>
              <w:rPr>
                <w:rFonts w:hint="eastAsia" w:ascii="楷体" w:hAnsi="楷体" w:eastAsia="楷体" w:cs="Arial"/>
                <w:szCs w:val="21"/>
              </w:rPr>
              <w:t>导：</w:t>
            </w:r>
            <w:r>
              <w:rPr>
                <w:rFonts w:hint="eastAsia" w:ascii="楷体" w:hAnsi="楷体" w:eastAsia="楷体"/>
                <w:sz w:val="24"/>
                <w:szCs w:val="24"/>
                <w:lang w:val="en-US" w:eastAsia="zh-CN"/>
              </w:rPr>
              <w:t>张康康</w:t>
            </w:r>
            <w:r>
              <w:rPr>
                <w:rFonts w:hint="eastAsia" w:ascii="楷体" w:hAnsi="楷体" w:eastAsia="楷体"/>
                <w:sz w:val="24"/>
                <w:szCs w:val="24"/>
              </w:rPr>
              <w:t xml:space="preserve">     陪同人员：</w:t>
            </w:r>
            <w:r>
              <w:rPr>
                <w:rFonts w:hint="eastAsia" w:eastAsia="楷体"/>
                <w:sz w:val="21"/>
                <w:szCs w:val="21"/>
                <w:lang w:val="en-US" w:eastAsia="zh-CN"/>
              </w:rPr>
              <w:t>杨月芬</w:t>
            </w:r>
          </w:p>
        </w:tc>
        <w:tc>
          <w:tcPr>
            <w:tcW w:w="1585" w:type="dxa"/>
            <w:vMerge w:val="restart"/>
            <w:vAlign w:val="center"/>
          </w:tcPr>
          <w:p>
            <w:pPr>
              <w:spacing w:line="360" w:lineRule="auto"/>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spacing w:before="120" w:line="360" w:lineRule="auto"/>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 xml:space="preserve">张磊        </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2021.12.09</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spacing w:line="360" w:lineRule="auto"/>
              <w:rPr>
                <w:rFonts w:ascii="楷体" w:hAnsi="楷体" w:eastAsia="楷体"/>
                <w:sz w:val="24"/>
                <w:szCs w:val="24"/>
              </w:rPr>
            </w:pPr>
          </w:p>
        </w:tc>
        <w:tc>
          <w:tcPr>
            <w:tcW w:w="1311" w:type="dxa"/>
            <w:vMerge w:val="continue"/>
            <w:vAlign w:val="center"/>
          </w:tcPr>
          <w:p>
            <w:pPr>
              <w:spacing w:line="360" w:lineRule="auto"/>
              <w:rPr>
                <w:rFonts w:ascii="楷体" w:hAnsi="楷体" w:eastAsia="楷体"/>
                <w:sz w:val="24"/>
                <w:szCs w:val="24"/>
              </w:rPr>
            </w:pPr>
          </w:p>
        </w:tc>
        <w:tc>
          <w:tcPr>
            <w:tcW w:w="10004" w:type="dxa"/>
            <w:vAlign w:val="center"/>
          </w:tcPr>
          <w:p>
            <w:pPr>
              <w:adjustRightInd w:val="0"/>
              <w:snapToGrid w:val="0"/>
              <w:spacing w:line="360" w:lineRule="auto"/>
              <w:ind w:right="105" w:rightChars="50"/>
              <w:textAlignment w:val="baseline"/>
              <w:rPr>
                <w:rFonts w:hint="eastAsia" w:ascii="楷体" w:hAnsi="楷体" w:eastAsia="楷体" w:cs="Arial"/>
                <w:szCs w:val="21"/>
              </w:rPr>
            </w:pPr>
            <w:r>
              <w:rPr>
                <w:rFonts w:hint="eastAsia" w:ascii="楷体" w:hAnsi="楷体" w:eastAsia="楷体"/>
                <w:szCs w:val="21"/>
              </w:rPr>
              <w:t>审核条款：</w:t>
            </w:r>
            <w:r>
              <w:rPr>
                <w:rFonts w:hint="eastAsia" w:ascii="楷体" w:hAnsi="楷体" w:eastAsia="楷体" w:cs="Arial"/>
                <w:szCs w:val="21"/>
              </w:rPr>
              <w:t>QMS:5.3组织的岗位、职责和权限、6.2质量目标、7.1.3基础设施、7.1.4过程运行环境、8.1运行策划和控制、8.5.1生产和服务提供的控制、8.5.2产品标识和可追朔性、8.5.4产品防护、8.5.6生产和服务提供的更改控制</w:t>
            </w:r>
          </w:p>
        </w:tc>
        <w:tc>
          <w:tcPr>
            <w:tcW w:w="1585" w:type="dxa"/>
            <w:vMerge w:val="continue"/>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组织的岗位职责和权限</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5.3</w:t>
            </w:r>
          </w:p>
          <w:p>
            <w:pPr>
              <w:spacing w:line="360" w:lineRule="auto"/>
              <w:rPr>
                <w:rFonts w:ascii="楷体" w:hAnsi="楷体" w:eastAsia="楷体"/>
                <w:b/>
                <w:sz w:val="24"/>
                <w:szCs w:val="24"/>
              </w:rPr>
            </w:pPr>
          </w:p>
        </w:tc>
        <w:tc>
          <w:tcPr>
            <w:tcW w:w="10004" w:type="dxa"/>
            <w:vAlign w:val="center"/>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本部门主要负责公司生产过程的控制；基础设施的管理、设备的维护保养工作；工作环境的管理；产品实现的策划及控制等工序控制及相应环境和职业健康安全的运行控制。</w:t>
            </w:r>
          </w:p>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rPr>
              <w:t>与部门负责人沟通，了解本部门的职责权限，暂无变化。</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b/>
                <w:sz w:val="24"/>
                <w:szCs w:val="24"/>
              </w:rPr>
            </w:pPr>
            <w:r>
              <w:rPr>
                <w:rFonts w:hint="eastAsia" w:ascii="楷体" w:hAnsi="楷体" w:eastAsia="楷体" w:cs="宋体"/>
                <w:color w:val="000000"/>
                <w:kern w:val="0"/>
                <w:sz w:val="24"/>
                <w:szCs w:val="24"/>
              </w:rPr>
              <w:t>目标及其实现的策划总要求</w:t>
            </w:r>
          </w:p>
        </w:tc>
        <w:tc>
          <w:tcPr>
            <w:tcW w:w="1311" w:type="dxa"/>
          </w:tcPr>
          <w:p>
            <w:pPr>
              <w:spacing w:line="360" w:lineRule="auto"/>
              <w:rPr>
                <w:rFonts w:ascii="楷体" w:hAnsi="楷体" w:eastAsia="楷体" w:cs="宋体"/>
                <w:color w:val="000000"/>
                <w:kern w:val="0"/>
                <w:sz w:val="24"/>
                <w:szCs w:val="24"/>
              </w:rPr>
            </w:pPr>
            <w:r>
              <w:rPr>
                <w:rFonts w:hint="eastAsia" w:ascii="楷体" w:hAnsi="楷体" w:eastAsia="楷体" w:cs="宋体"/>
                <w:color w:val="000000"/>
                <w:kern w:val="0"/>
                <w:sz w:val="24"/>
                <w:szCs w:val="24"/>
                <w:lang w:eastAsia="zh-CN"/>
              </w:rPr>
              <w:t>Q</w:t>
            </w:r>
            <w:r>
              <w:rPr>
                <w:rFonts w:hint="eastAsia" w:ascii="楷体" w:hAnsi="楷体" w:eastAsia="楷体" w:cs="宋体"/>
                <w:color w:val="000000"/>
                <w:kern w:val="0"/>
                <w:sz w:val="24"/>
                <w:szCs w:val="24"/>
                <w:lang w:val="en-US" w:eastAsia="zh-CN"/>
              </w:rPr>
              <w:t>E</w:t>
            </w:r>
            <w:r>
              <w:rPr>
                <w:rFonts w:hint="eastAsia" w:ascii="楷体" w:hAnsi="楷体" w:eastAsia="楷体" w:cs="宋体"/>
                <w:color w:val="000000"/>
                <w:kern w:val="0"/>
                <w:sz w:val="24"/>
                <w:szCs w:val="24"/>
              </w:rPr>
              <w:t>6.2</w:t>
            </w:r>
          </w:p>
          <w:p>
            <w:pPr>
              <w:spacing w:line="360" w:lineRule="auto"/>
              <w:rPr>
                <w:rFonts w:ascii="楷体" w:hAnsi="楷体" w:eastAsia="楷体" w:cs="宋体"/>
                <w:color w:val="000000"/>
                <w:kern w:val="0"/>
                <w:sz w:val="24"/>
                <w:szCs w:val="24"/>
              </w:rPr>
            </w:pPr>
          </w:p>
          <w:p>
            <w:pPr>
              <w:spacing w:line="360" w:lineRule="auto"/>
              <w:rPr>
                <w:rFonts w:ascii="楷体" w:hAnsi="楷体" w:eastAsia="楷体"/>
                <w:b/>
                <w:sz w:val="24"/>
                <w:szCs w:val="24"/>
              </w:rPr>
            </w:pPr>
          </w:p>
        </w:tc>
        <w:tc>
          <w:tcPr>
            <w:tcW w:w="10004" w:type="dxa"/>
            <w:vAlign w:val="center"/>
          </w:tcPr>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本部门的目标有:</w:t>
            </w:r>
          </w:p>
          <w:tbl>
            <w:tblPr>
              <w:tblStyle w:val="12"/>
              <w:tblpPr w:leftFromText="180" w:rightFromText="180" w:vertAnchor="text" w:horzAnchor="page" w:tblpXSpec="center" w:tblpY="46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2"/>
              <w:gridCol w:w="328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0" w:type="auto"/>
                  <w:tcBorders>
                    <w:bottom w:val="single" w:color="auto" w:sz="4" w:space="0"/>
                  </w:tcBorders>
                  <w:noWrap w:val="0"/>
                  <w:vAlign w:val="center"/>
                </w:tcPr>
                <w:p>
                  <w:pPr>
                    <w:pStyle w:val="6"/>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分目标</w:t>
                  </w:r>
                </w:p>
              </w:tc>
              <w:tc>
                <w:tcPr>
                  <w:tcW w:w="0" w:type="auto"/>
                  <w:tcBorders>
                    <w:bottom w:val="single" w:color="auto" w:sz="4" w:space="0"/>
                  </w:tcBorders>
                  <w:noWrap w:val="0"/>
                  <w:vAlign w:val="center"/>
                </w:tcPr>
                <w:p>
                  <w:pPr>
                    <w:pStyle w:val="6"/>
                    <w:spacing w:before="80" w:beforeLines="20" w:after="80" w:afterLines="20" w:line="320" w:lineRule="exact"/>
                    <w:ind w:left="0"/>
                    <w:jc w:val="center"/>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考核方法</w:t>
                  </w:r>
                </w:p>
              </w:tc>
              <w:tc>
                <w:tcPr>
                  <w:tcW w:w="0" w:type="auto"/>
                  <w:tcBorders>
                    <w:bottom w:val="single" w:color="auto" w:sz="4" w:space="0"/>
                  </w:tcBorders>
                  <w:noWrap w:val="0"/>
                  <w:vAlign w:val="center"/>
                </w:tcPr>
                <w:p>
                  <w:pPr>
                    <w:pStyle w:val="6"/>
                    <w:spacing w:before="80" w:beforeLines="20" w:after="80" w:afterLines="20" w:line="320" w:lineRule="exact"/>
                    <w:ind w:left="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考核结果1-10月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1.生产计划按时完成率100%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完成率＝完成数量÷计划数量×100%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 产品出厂达标率≥100%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合格率＝合格数量÷不合格数量总数×100%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3.设备完好率≥98%</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完好率＝设备总数÷完好设备×100%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Style w:val="6"/>
                    <w:spacing w:before="60" w:beforeLines="15" w:after="60" w:afterLines="15" w:line="0" w:lineRule="atLeast"/>
                    <w:ind w:left="0" w:leftChars="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4．办公场所分类处理各类废弃物，有专门收集箱并标识，回收处理率≥99%.</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处理率＝应回收处理总数÷处理率×100%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0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5.废弃物请回收部门清运及时率100%</w:t>
                  </w:r>
                </w:p>
              </w:tc>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及时率＝应清运总数÷清运次数×100%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100%</w:t>
                  </w:r>
                </w:p>
              </w:tc>
            </w:tr>
          </w:tbl>
          <w:p>
            <w:pPr>
              <w:spacing w:line="360" w:lineRule="auto"/>
              <w:ind w:firstLine="480" w:firstLineChars="200"/>
              <w:rPr>
                <w:rFonts w:hint="eastAsia" w:ascii="楷体" w:hAnsi="楷体" w:eastAsia="楷体" w:cs="宋体"/>
                <w:color w:val="000000"/>
                <w:sz w:val="24"/>
                <w:szCs w:val="24"/>
              </w:rPr>
            </w:pPr>
            <w:r>
              <w:rPr>
                <w:rFonts w:hint="eastAsia" w:ascii="楷体" w:hAnsi="楷体" w:eastAsia="楷体" w:cs="宋体"/>
                <w:color w:val="000000"/>
                <w:sz w:val="24"/>
                <w:szCs w:val="24"/>
              </w:rPr>
              <w:t>部门分解目标与公司方针一致，可测量，并传达到部门相关人员，必要时适时更新，目前无变化。</w:t>
            </w:r>
          </w:p>
          <w:p>
            <w:pPr>
              <w:pStyle w:val="2"/>
              <w:ind w:firstLine="480" w:firstLineChars="200"/>
            </w:pPr>
            <w:r>
              <w:rPr>
                <w:rFonts w:hint="eastAsia" w:ascii="楷体" w:hAnsi="楷体" w:eastAsia="楷体" w:cs="宋体"/>
                <w:bCs w:val="0"/>
                <w:color w:val="000000"/>
                <w:spacing w:val="0"/>
                <w:kern w:val="2"/>
                <w:sz w:val="24"/>
                <w:szCs w:val="24"/>
                <w:lang w:val="en-US" w:eastAsia="zh-CN" w:bidi="ar-SA"/>
              </w:rPr>
              <w:t>针对以上环境、职业健康安全目标和重要环境因素公司制定了相应的《管理方案》，内容涉及方法措施、执行部门、完成情况等。如工作中的废边角料、废包装袋、废活性炭等废弃物严格按废弃物控制规范进行处理；配备有效的灭火器等消防设施，安全操作隐患检查每月至少1次、现场每天检查操作规范性，防止影响环境的操作等……</w:t>
            </w:r>
          </w:p>
          <w:p>
            <w:pPr>
              <w:spacing w:line="360" w:lineRule="auto"/>
              <w:ind w:firstLine="480" w:firstLineChars="200"/>
              <w:rPr>
                <w:rFonts w:ascii="楷体" w:hAnsi="楷体" w:eastAsia="楷体" w:cs="宋体"/>
                <w:color w:val="000000"/>
                <w:sz w:val="24"/>
                <w:szCs w:val="24"/>
              </w:rPr>
            </w:pPr>
            <w:r>
              <w:rPr>
                <w:rFonts w:hint="eastAsia" w:ascii="楷体" w:hAnsi="楷体" w:eastAsia="楷体" w:cs="宋体"/>
                <w:color w:val="000000"/>
                <w:sz w:val="24"/>
                <w:szCs w:val="24"/>
              </w:rPr>
              <w:t>提供</w:t>
            </w:r>
            <w:r>
              <w:rPr>
                <w:rFonts w:hint="eastAsia" w:ascii="楷体" w:hAnsi="楷体" w:eastAsia="楷体" w:cs="宋体"/>
                <w:color w:val="000000"/>
                <w:sz w:val="24"/>
                <w:szCs w:val="24"/>
                <w:lang w:val="en-US" w:eastAsia="zh-CN"/>
              </w:rPr>
              <w:t>2021年10月30号</w:t>
            </w:r>
            <w:r>
              <w:rPr>
                <w:rFonts w:hint="eastAsia" w:ascii="楷体" w:hAnsi="楷体" w:eastAsia="楷体" w:cs="宋体"/>
                <w:color w:val="000000"/>
                <w:sz w:val="24"/>
                <w:szCs w:val="24"/>
              </w:rPr>
              <w:t>《</w:t>
            </w:r>
            <w:r>
              <w:rPr>
                <w:rFonts w:hint="eastAsia" w:ascii="楷体" w:hAnsi="楷体" w:eastAsia="楷体" w:cs="宋体"/>
                <w:color w:val="000000"/>
                <w:sz w:val="24"/>
                <w:szCs w:val="24"/>
                <w:lang w:val="en-US" w:eastAsia="zh-CN"/>
              </w:rPr>
              <w:t>环境</w:t>
            </w:r>
            <w:r>
              <w:rPr>
                <w:rFonts w:hint="eastAsia" w:ascii="楷体" w:hAnsi="楷体" w:eastAsia="楷体" w:cs="宋体"/>
                <w:color w:val="000000"/>
                <w:sz w:val="24"/>
                <w:szCs w:val="24"/>
              </w:rPr>
              <w:t>目标、指标及管理方案执行情况检查》，</w:t>
            </w:r>
            <w:r>
              <w:rPr>
                <w:rFonts w:hint="eastAsia" w:ascii="楷体" w:hAnsi="楷体" w:eastAsia="楷体" w:cs="宋体"/>
                <w:color w:val="000000"/>
                <w:sz w:val="24"/>
                <w:szCs w:val="24"/>
                <w:lang w:val="en-US" w:eastAsia="zh-CN"/>
              </w:rPr>
              <w:t>统计时间：</w:t>
            </w:r>
            <w:r>
              <w:rPr>
                <w:rFonts w:hint="eastAsia" w:ascii="楷体" w:hAnsi="楷体" w:eastAsia="楷体" w:cs="宋体"/>
                <w:color w:val="000000"/>
                <w:sz w:val="24"/>
                <w:szCs w:val="24"/>
              </w:rPr>
              <w:t>21年1月至21年</w:t>
            </w:r>
            <w:r>
              <w:rPr>
                <w:rFonts w:hint="eastAsia" w:ascii="楷体" w:hAnsi="楷体" w:eastAsia="楷体" w:cs="宋体"/>
                <w:color w:val="000000"/>
                <w:sz w:val="24"/>
                <w:szCs w:val="24"/>
                <w:lang w:val="en-US" w:eastAsia="zh-CN"/>
              </w:rPr>
              <w:t>10</w:t>
            </w:r>
            <w:r>
              <w:rPr>
                <w:rFonts w:hint="eastAsia" w:ascii="楷体" w:hAnsi="楷体" w:eastAsia="楷体" w:cs="宋体"/>
                <w:color w:val="000000"/>
                <w:sz w:val="24"/>
                <w:szCs w:val="24"/>
              </w:rPr>
              <w:t xml:space="preserve">月 </w:t>
            </w:r>
            <w:r>
              <w:rPr>
                <w:rFonts w:hint="eastAsia" w:ascii="楷体" w:hAnsi="楷体" w:eastAsia="楷体" w:cs="宋体"/>
                <w:color w:val="000000"/>
                <w:sz w:val="24"/>
                <w:szCs w:val="24"/>
                <w:lang w:eastAsia="zh-CN"/>
              </w:rPr>
              <w:t>，</w:t>
            </w:r>
            <w:r>
              <w:rPr>
                <w:rFonts w:hint="eastAsia" w:ascii="楷体" w:hAnsi="楷体" w:eastAsia="楷体" w:cs="宋体"/>
                <w:color w:val="000000"/>
                <w:sz w:val="24"/>
                <w:szCs w:val="24"/>
              </w:rPr>
              <w:t>完成情况：以上各产品标均已达成。时间表：自管理体系运行以来持续进行，已按管理方案要求实施。</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环境因素</w:t>
            </w:r>
          </w:p>
          <w:p>
            <w:pPr>
              <w:spacing w:before="120" w:line="320" w:lineRule="exact"/>
              <w:rPr>
                <w:rFonts w:hint="eastAsia" w:ascii="楷体" w:hAnsi="楷体" w:eastAsia="楷体" w:cs="宋体"/>
                <w:color w:val="000000"/>
                <w:kern w:val="0"/>
                <w:sz w:val="24"/>
                <w:szCs w:val="24"/>
              </w:rPr>
            </w:pP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E6.1.2</w:t>
            </w:r>
          </w:p>
          <w:p>
            <w:pPr>
              <w:spacing w:before="120" w:line="320" w:lineRule="exact"/>
              <w:rPr>
                <w:rFonts w:ascii="楷体" w:hAnsi="楷体" w:eastAsia="楷体"/>
                <w:b/>
                <w:sz w:val="24"/>
                <w:szCs w:val="24"/>
              </w:rPr>
            </w:pPr>
          </w:p>
        </w:tc>
        <w:tc>
          <w:tcPr>
            <w:tcW w:w="10004" w:type="dxa"/>
            <w:vAlign w:val="top"/>
          </w:tcPr>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提供了《环境因素的识别、评价控制程序》、《危险源辨识、风险评价和控制措施确定控制程序》，对环境因素、危险源的识别、评价结果、控制手段等做出了规定。</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部门负责人介绍了对环境因素、危险源进行了辨识，考虑了三种时态，过去、现在和将来，三种状态，正常、异常和紧急，按照办公区域及工作过程，另外按照区域及工作过程等进行了辨识。</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生产部环境因素识别评价表》，对本部门生产和办公等有关过程的环境因素。分别识别了日常办公过程中的固废（废电池、灯管、墨盒、笔）造成的地面污染、水资源利用（拖地、厕所用水）的水资源消耗、照明、空调、办公设施等电能消耗、意外火灾引起的污染大气、污染地面、资源消耗、生产过程（固废、噪声排放、火灾、电能消耗、粉尘排放）、设备维修（废弃丢弃、漏油、更换新部件）、配电室（故障、操作不当、电线电路老化）等环境因素。</w:t>
            </w:r>
          </w:p>
          <w:p>
            <w:pPr>
              <w:spacing w:line="400" w:lineRule="exact"/>
              <w:ind w:firstLine="480" w:firstLineChars="200"/>
              <w:rPr>
                <w:rFonts w:hint="eastAsia" w:ascii="楷体" w:hAnsi="楷体" w:eastAsia="楷体" w:cs="宋体"/>
                <w:bCs w:val="0"/>
                <w:color w:val="000000"/>
                <w:spacing w:val="0"/>
                <w:kern w:val="2"/>
                <w:sz w:val="24"/>
                <w:szCs w:val="24"/>
                <w:lang w:val="en-US" w:eastAsia="zh-CN" w:bidi="ar-SA"/>
              </w:rPr>
            </w:pPr>
            <w:r>
              <w:rPr>
                <w:rFonts w:hint="eastAsia" w:ascii="楷体" w:hAnsi="楷体" w:eastAsia="楷体" w:cs="宋体"/>
                <w:bCs w:val="0"/>
                <w:color w:val="000000"/>
                <w:spacing w:val="0"/>
                <w:kern w:val="2"/>
                <w:sz w:val="24"/>
                <w:szCs w:val="24"/>
                <w:lang w:val="en-US" w:eastAsia="zh-CN" w:bidi="ar-SA"/>
              </w:rPr>
              <w:t>查到：《重要环境因素清单》，公司涉及重要环境因素：电的消耗，固体废弃物的排放，用电不当导致火灾，危废，废气、噪声排放等，本部门涉及的重要环境因素：均有涉及。</w:t>
            </w:r>
          </w:p>
          <w:p>
            <w:pPr>
              <w:spacing w:line="400" w:lineRule="exact"/>
              <w:ind w:firstLine="480" w:firstLineChars="200"/>
              <w:rPr>
                <w:rFonts w:hint="eastAsia" w:ascii="楷体" w:hAnsi="楷体" w:eastAsia="楷体" w:cs="宋体"/>
                <w:color w:val="000000"/>
                <w:sz w:val="24"/>
                <w:szCs w:val="24"/>
              </w:rPr>
            </w:pPr>
            <w:r>
              <w:rPr>
                <w:rFonts w:hint="eastAsia" w:ascii="楷体" w:hAnsi="楷体" w:eastAsia="楷体" w:cs="宋体"/>
                <w:bCs w:val="0"/>
                <w:color w:val="000000"/>
                <w:spacing w:val="0"/>
                <w:kern w:val="2"/>
                <w:sz w:val="24"/>
                <w:szCs w:val="24"/>
                <w:lang w:val="en-US" w:eastAsia="zh-CN" w:bidi="ar-SA"/>
              </w:rPr>
              <w:t>生产部环境因素评价基本符合标准要求</w:t>
            </w:r>
            <w:r>
              <w:rPr>
                <w:rFonts w:hint="eastAsia" w:ascii="Times New Roman" w:hAnsi="Times New Roman" w:eastAsia="宋体" w:cs="Times New Roman"/>
                <w:lang w:val="en-US" w:eastAsia="zh-CN"/>
              </w:rPr>
              <w:t>。</w:t>
            </w:r>
          </w:p>
        </w:tc>
        <w:tc>
          <w:tcPr>
            <w:tcW w:w="1585" w:type="dxa"/>
            <w:vAlign w:val="top"/>
          </w:tcPr>
          <w:p>
            <w:pPr>
              <w:spacing w:before="120" w:line="320" w:lineRule="exact"/>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基础设施</w:t>
            </w:r>
          </w:p>
          <w:p>
            <w:pPr>
              <w:spacing w:line="360" w:lineRule="auto"/>
              <w:rPr>
                <w:rFonts w:ascii="楷体" w:hAnsi="楷体" w:eastAsia="楷体" w:cs="宋体"/>
                <w:color w:val="000000"/>
                <w:kern w:val="0"/>
                <w:sz w:val="24"/>
                <w:szCs w:val="24"/>
              </w:rPr>
            </w:pPr>
          </w:p>
        </w:tc>
        <w:tc>
          <w:tcPr>
            <w:tcW w:w="1311" w:type="dxa"/>
          </w:tcPr>
          <w:p>
            <w:pPr>
              <w:spacing w:line="360" w:lineRule="auto"/>
              <w:rPr>
                <w:rFonts w:ascii="楷体" w:hAnsi="楷体" w:eastAsia="楷体"/>
                <w:sz w:val="24"/>
                <w:szCs w:val="24"/>
              </w:rPr>
            </w:pPr>
            <w:r>
              <w:rPr>
                <w:rFonts w:hint="eastAsia" w:ascii="楷体" w:hAnsi="楷体" w:eastAsia="楷体"/>
                <w:sz w:val="24"/>
                <w:szCs w:val="24"/>
              </w:rPr>
              <w:t>Q7.1.3</w:t>
            </w:r>
          </w:p>
          <w:p>
            <w:pPr>
              <w:spacing w:line="360" w:lineRule="auto"/>
              <w:rPr>
                <w:rFonts w:ascii="楷体" w:hAnsi="楷体" w:eastAsia="楷体"/>
                <w:sz w:val="24"/>
                <w:szCs w:val="24"/>
              </w:rPr>
            </w:pPr>
          </w:p>
        </w:tc>
        <w:tc>
          <w:tcPr>
            <w:tcW w:w="10004" w:type="dxa"/>
            <w:vAlign w:val="center"/>
          </w:tcPr>
          <w:p>
            <w:pPr>
              <w:spacing w:line="360" w:lineRule="auto"/>
              <w:ind w:firstLine="465"/>
              <w:rPr>
                <w:rFonts w:ascii="楷体" w:hAnsi="楷体" w:eastAsia="楷体"/>
                <w:sz w:val="24"/>
                <w:szCs w:val="24"/>
              </w:rPr>
            </w:pPr>
            <w:r>
              <w:rPr>
                <w:rFonts w:hint="eastAsia" w:ascii="楷体" w:hAnsi="楷体" w:eastAsia="楷体"/>
                <w:sz w:val="24"/>
                <w:szCs w:val="24"/>
              </w:rPr>
              <w:t>该公司编制《设备维护保养管理办法》、《生产设施安全管理制度》。规定了设备设施的维护保养要求。</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查公司生产设备主要包括：</w:t>
            </w:r>
            <w:r>
              <w:rPr>
                <w:rFonts w:hint="eastAsia" w:ascii="楷体" w:hAnsi="楷体" w:eastAsia="楷体"/>
                <w:sz w:val="24"/>
                <w:szCs w:val="24"/>
                <w:lang w:val="en-US" w:eastAsia="zh-CN"/>
              </w:rPr>
              <w:t>逆变式弧焊机</w:t>
            </w:r>
            <w:r>
              <w:rPr>
                <w:rFonts w:hint="eastAsia" w:ascii="楷体" w:hAnsi="楷体" w:eastAsia="楷体"/>
                <w:sz w:val="24"/>
                <w:szCs w:val="24"/>
              </w:rPr>
              <w:t>、</w:t>
            </w:r>
            <w:r>
              <w:rPr>
                <w:rFonts w:hint="eastAsia" w:ascii="楷体" w:hAnsi="楷体" w:eastAsia="楷体"/>
                <w:sz w:val="24"/>
                <w:szCs w:val="24"/>
                <w:lang w:val="en-US" w:eastAsia="zh-CN"/>
              </w:rPr>
              <w:t>数控切割机</w:t>
            </w:r>
            <w:r>
              <w:rPr>
                <w:rFonts w:hint="eastAsia" w:ascii="楷体" w:hAnsi="楷体" w:eastAsia="楷体"/>
                <w:sz w:val="24"/>
                <w:szCs w:val="24"/>
              </w:rPr>
              <w:t>、</w:t>
            </w:r>
            <w:r>
              <w:rPr>
                <w:rFonts w:hint="eastAsia" w:ascii="楷体" w:hAnsi="楷体" w:eastAsia="楷体"/>
                <w:sz w:val="24"/>
                <w:szCs w:val="24"/>
                <w:lang w:val="en-US" w:eastAsia="zh-CN"/>
              </w:rPr>
              <w:t>车床</w:t>
            </w:r>
            <w:r>
              <w:rPr>
                <w:rFonts w:hint="eastAsia" w:ascii="楷体" w:hAnsi="楷体" w:eastAsia="楷体"/>
                <w:sz w:val="24"/>
                <w:szCs w:val="24"/>
              </w:rPr>
              <w:t>等；办公设备有电脑、电话、传真机、打印/复印/扫描机。有厂房、办公楼，基础设施能够满足办公及生产的需求。</w:t>
            </w:r>
          </w:p>
          <w:p>
            <w:pPr>
              <w:tabs>
                <w:tab w:val="left" w:pos="6597"/>
              </w:tabs>
              <w:spacing w:line="360" w:lineRule="auto"/>
              <w:rPr>
                <w:rFonts w:ascii="楷体" w:hAnsi="楷体" w:eastAsia="楷体"/>
                <w:sz w:val="24"/>
                <w:szCs w:val="24"/>
              </w:rPr>
            </w:pPr>
            <w:r>
              <w:rPr>
                <w:rFonts w:hint="eastAsia" w:ascii="楷体" w:hAnsi="楷体" w:eastAsia="楷体"/>
                <w:sz w:val="24"/>
                <w:szCs w:val="24"/>
              </w:rPr>
              <w:t>组织按照《设备定期</w:t>
            </w:r>
            <w:r>
              <w:rPr>
                <w:rFonts w:hint="eastAsia" w:ascii="楷体" w:hAnsi="楷体" w:eastAsia="楷体"/>
                <w:sz w:val="24"/>
                <w:szCs w:val="24"/>
                <w:lang w:val="en-US" w:eastAsia="zh-CN"/>
              </w:rPr>
              <w:t>保养</w:t>
            </w:r>
            <w:r>
              <w:rPr>
                <w:rFonts w:hint="eastAsia" w:ascii="楷体" w:hAnsi="楷体" w:eastAsia="楷体"/>
                <w:sz w:val="24"/>
                <w:szCs w:val="24"/>
              </w:rPr>
              <w:t>记录》中的项目和频次进行维护，并做记录。</w:t>
            </w:r>
          </w:p>
          <w:p>
            <w:pPr>
              <w:tabs>
                <w:tab w:val="left" w:pos="6597"/>
              </w:tabs>
              <w:spacing w:line="360" w:lineRule="auto"/>
              <w:rPr>
                <w:rFonts w:hint="default" w:ascii="楷体" w:hAnsi="楷体" w:eastAsia="楷体"/>
                <w:sz w:val="24"/>
                <w:szCs w:val="24"/>
                <w:lang w:val="en-US" w:eastAsia="zh-CN"/>
              </w:rPr>
            </w:pPr>
            <w:r>
              <w:rPr>
                <w:rFonts w:hint="eastAsia" w:ascii="楷体" w:hAnsi="楷体" w:eastAsia="楷体"/>
                <w:sz w:val="24"/>
                <w:szCs w:val="24"/>
              </w:rPr>
              <w:t>抽：</w:t>
            </w:r>
            <w:r>
              <w:rPr>
                <w:rFonts w:hint="eastAsia" w:ascii="楷体" w:hAnsi="楷体" w:eastAsia="楷体"/>
                <w:sz w:val="24"/>
                <w:szCs w:val="24"/>
                <w:lang w:val="en-US" w:eastAsia="zh-CN"/>
              </w:rPr>
              <w:t>锯床</w:t>
            </w:r>
            <w:r>
              <w:rPr>
                <w:rFonts w:hint="eastAsia" w:ascii="楷体" w:hAnsi="楷体" w:eastAsia="楷体"/>
                <w:sz w:val="24"/>
                <w:szCs w:val="24"/>
              </w:rPr>
              <w:t>、</w:t>
            </w:r>
            <w:r>
              <w:rPr>
                <w:rFonts w:hint="eastAsia" w:ascii="楷体" w:hAnsi="楷体" w:eastAsia="楷体"/>
                <w:sz w:val="24"/>
                <w:szCs w:val="24"/>
                <w:lang w:val="en-US" w:eastAsia="zh-CN"/>
              </w:rPr>
              <w:t>行车、数控车床</w:t>
            </w:r>
            <w:r>
              <w:rPr>
                <w:rFonts w:hint="eastAsia" w:ascii="楷体" w:hAnsi="楷体" w:eastAsia="楷体"/>
                <w:sz w:val="24"/>
                <w:szCs w:val="24"/>
              </w:rPr>
              <w:t>的《设备</w:t>
            </w:r>
            <w:r>
              <w:rPr>
                <w:rFonts w:hint="eastAsia" w:ascii="楷体" w:hAnsi="楷体" w:eastAsia="楷体"/>
                <w:sz w:val="24"/>
                <w:szCs w:val="24"/>
                <w:lang w:val="en-US" w:eastAsia="zh-CN"/>
              </w:rPr>
              <w:t>维修/保养记录》如图：</w:t>
            </w:r>
          </w:p>
          <w:p>
            <w:pPr>
              <w:pStyle w:val="2"/>
              <w:rPr>
                <w:rFonts w:hint="default" w:ascii="楷体" w:hAnsi="楷体" w:eastAsia="楷体"/>
                <w:sz w:val="24"/>
                <w:szCs w:val="24"/>
                <w:lang w:val="en-US" w:eastAsia="zh-CN"/>
              </w:rPr>
            </w:pPr>
            <w:r>
              <w:rPr>
                <w:rFonts w:hint="default"/>
                <w:lang w:val="en-US" w:eastAsia="zh-CN"/>
              </w:rPr>
              <w:drawing>
                <wp:inline distT="0" distB="0" distL="114300" distR="114300">
                  <wp:extent cx="1456690" cy="2265680"/>
                  <wp:effectExtent l="0" t="0" r="3810" b="7620"/>
                  <wp:docPr id="8" name="图片 8" descr="89141c0861e5c132c1a8b350269d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9141c0861e5c132c1a8b350269d863"/>
                          <pic:cNvPicPr>
                            <a:picLocks noChangeAspect="1"/>
                          </pic:cNvPicPr>
                        </pic:nvPicPr>
                        <pic:blipFill>
                          <a:blip r:embed="rId6"/>
                          <a:srcRect t="11625" b="12957"/>
                          <a:stretch>
                            <a:fillRect/>
                          </a:stretch>
                        </pic:blipFill>
                        <pic:spPr>
                          <a:xfrm>
                            <a:off x="0" y="0"/>
                            <a:ext cx="1456690" cy="2265680"/>
                          </a:xfrm>
                          <a:prstGeom prst="rect">
                            <a:avLst/>
                          </a:prstGeom>
                        </pic:spPr>
                      </pic:pic>
                    </a:graphicData>
                  </a:graphic>
                </wp:inline>
              </w:drawing>
            </w:r>
            <w:r>
              <w:rPr>
                <w:rFonts w:hint="default"/>
                <w:lang w:val="en-US" w:eastAsia="zh-CN"/>
              </w:rPr>
              <w:drawing>
                <wp:inline distT="0" distB="0" distL="114300" distR="114300">
                  <wp:extent cx="1502410" cy="2292985"/>
                  <wp:effectExtent l="0" t="0" r="8890" b="5715"/>
                  <wp:docPr id="9" name="图片 9" descr="b9810cb1a52bd0e25b4e0b1e2a3d3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9810cb1a52bd0e25b4e0b1e2a3d3af"/>
                          <pic:cNvPicPr>
                            <a:picLocks noChangeAspect="1"/>
                          </pic:cNvPicPr>
                        </pic:nvPicPr>
                        <pic:blipFill>
                          <a:blip r:embed="rId7"/>
                          <a:srcRect t="11760" b="14237"/>
                          <a:stretch>
                            <a:fillRect/>
                          </a:stretch>
                        </pic:blipFill>
                        <pic:spPr>
                          <a:xfrm>
                            <a:off x="0" y="0"/>
                            <a:ext cx="1502410" cy="2292985"/>
                          </a:xfrm>
                          <a:prstGeom prst="rect">
                            <a:avLst/>
                          </a:prstGeom>
                        </pic:spPr>
                      </pic:pic>
                    </a:graphicData>
                  </a:graphic>
                </wp:inline>
              </w:drawing>
            </w:r>
            <w:r>
              <w:rPr>
                <w:rFonts w:hint="default"/>
                <w:lang w:val="en-US" w:eastAsia="zh-CN"/>
              </w:rPr>
              <w:drawing>
                <wp:inline distT="0" distB="0" distL="114300" distR="114300">
                  <wp:extent cx="1663065" cy="2353310"/>
                  <wp:effectExtent l="0" t="0" r="635" b="8890"/>
                  <wp:docPr id="10" name="图片 10" descr="48b60c64f107df5ac0973522f47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8b60c64f107df5ac0973522f470591"/>
                          <pic:cNvPicPr>
                            <a:picLocks noChangeAspect="1"/>
                          </pic:cNvPicPr>
                        </pic:nvPicPr>
                        <pic:blipFill>
                          <a:blip r:embed="rId8"/>
                          <a:srcRect t="11759" b="19640"/>
                          <a:stretch>
                            <a:fillRect/>
                          </a:stretch>
                        </pic:blipFill>
                        <pic:spPr>
                          <a:xfrm>
                            <a:off x="0" y="0"/>
                            <a:ext cx="1663065" cy="2353310"/>
                          </a:xfrm>
                          <a:prstGeom prst="rect">
                            <a:avLst/>
                          </a:prstGeom>
                        </pic:spPr>
                      </pic:pic>
                    </a:graphicData>
                  </a:graphic>
                </wp:inline>
              </w:drawing>
            </w:r>
          </w:p>
          <w:p>
            <w:pPr>
              <w:tabs>
                <w:tab w:val="left" w:pos="6597"/>
              </w:tabs>
              <w:spacing w:line="360" w:lineRule="auto"/>
              <w:rPr>
                <w:rFonts w:hint="eastAsia" w:ascii="楷体" w:hAnsi="楷体" w:eastAsia="楷体"/>
                <w:sz w:val="24"/>
                <w:szCs w:val="24"/>
              </w:rPr>
            </w:pPr>
            <w:r>
              <w:rPr>
                <w:rFonts w:hint="eastAsia" w:ascii="楷体" w:hAnsi="楷体" w:eastAsia="楷体"/>
                <w:sz w:val="24"/>
                <w:szCs w:val="24"/>
              </w:rPr>
              <w:t xml:space="preserve"> 特种设备：</w:t>
            </w:r>
          </w:p>
          <w:p>
            <w:pPr>
              <w:tabs>
                <w:tab w:val="left" w:pos="6597"/>
              </w:tabs>
              <w:spacing w:line="360" w:lineRule="auto"/>
              <w:rPr>
                <w:rFonts w:hint="eastAsia" w:ascii="楷体" w:hAnsi="楷体" w:eastAsia="楷体"/>
                <w:sz w:val="24"/>
                <w:szCs w:val="24"/>
                <w:lang w:val="en-US" w:eastAsia="zh-CN"/>
              </w:rPr>
            </w:pPr>
            <w:r>
              <w:rPr>
                <w:rFonts w:hint="eastAsia" w:ascii="楷体" w:hAnsi="楷体" w:eastAsia="楷体"/>
                <w:sz w:val="24"/>
                <w:szCs w:val="24"/>
                <w:lang w:val="en-US" w:eastAsia="zh-CN"/>
              </w:rPr>
              <w:t>特种设备控制</w:t>
            </w:r>
          </w:p>
          <w:p>
            <w:pPr>
              <w:tabs>
                <w:tab w:val="left" w:pos="6597"/>
              </w:tabs>
              <w:spacing w:line="360" w:lineRule="auto"/>
              <w:rPr>
                <w:rFonts w:hint="eastAsia"/>
                <w:highlight w:val="none"/>
                <w:vertAlign w:val="baseline"/>
                <w:lang w:val="en-US" w:eastAsia="zh-CN"/>
              </w:rPr>
            </w:pPr>
            <w:r>
              <w:rPr>
                <w:rFonts w:hint="eastAsia" w:ascii="楷体" w:hAnsi="楷体" w:eastAsia="楷体"/>
                <w:sz w:val="24"/>
                <w:szCs w:val="24"/>
                <w:lang w:val="en-US" w:eastAsia="zh-CN"/>
              </w:rPr>
              <w:t>特种设备种类：</w:t>
            </w:r>
            <w:r>
              <w:rPr>
                <w:rFonts w:hint="eastAsia" w:ascii="楷体" w:hAnsi="楷体" w:eastAsia="楷体"/>
                <w:sz w:val="24"/>
                <w:szCs w:val="24"/>
                <w:lang w:val="en-US" w:eastAsia="zh-CN"/>
              </w:rPr>
              <w:sym w:font="Wingdings" w:char="00FE"/>
            </w:r>
            <w:r>
              <w:rPr>
                <w:rFonts w:hint="eastAsia" w:ascii="楷体" w:hAnsi="楷体" w:eastAsia="楷体"/>
                <w:sz w:val="24"/>
                <w:szCs w:val="24"/>
                <w:lang w:val="en-US" w:eastAsia="zh-CN"/>
              </w:rPr>
              <w:t xml:space="preserve">叉车 </w:t>
            </w:r>
            <w:r>
              <w:rPr>
                <w:rFonts w:hint="eastAsia" w:ascii="楷体" w:hAnsi="楷体" w:eastAsia="楷体"/>
                <w:sz w:val="24"/>
                <w:szCs w:val="24"/>
                <w:lang w:val="en-US" w:eastAsia="zh-CN"/>
              </w:rPr>
              <w:sym w:font="Wingdings" w:char="00FE"/>
            </w:r>
            <w:r>
              <w:rPr>
                <w:rFonts w:hint="eastAsia" w:ascii="楷体" w:hAnsi="楷体" w:eastAsia="楷体"/>
                <w:sz w:val="24"/>
                <w:szCs w:val="24"/>
                <w:lang w:val="en-US" w:eastAsia="zh-CN"/>
              </w:rPr>
              <w:t xml:space="preserve">行车 </w:t>
            </w:r>
            <w:r>
              <w:rPr>
                <w:rFonts w:hint="eastAsia" w:ascii="楷体" w:hAnsi="楷体" w:eastAsia="楷体"/>
                <w:sz w:val="24"/>
                <w:szCs w:val="24"/>
                <w:lang w:val="en-US" w:eastAsia="zh-CN"/>
              </w:rPr>
              <w:sym w:font="Wingdings" w:char="00A8"/>
            </w:r>
            <w:r>
              <w:rPr>
                <w:rFonts w:hint="eastAsia" w:ascii="楷体" w:hAnsi="楷体" w:eastAsia="楷体"/>
                <w:sz w:val="24"/>
                <w:szCs w:val="24"/>
                <w:lang w:val="en-US" w:eastAsia="zh-CN"/>
              </w:rPr>
              <w:t xml:space="preserve">锅炉 </w:t>
            </w:r>
            <w:r>
              <w:rPr>
                <w:rFonts w:hint="eastAsia" w:ascii="楷体" w:hAnsi="楷体" w:eastAsia="楷体"/>
                <w:sz w:val="24"/>
                <w:szCs w:val="24"/>
                <w:lang w:val="en-US" w:eastAsia="zh-CN"/>
              </w:rPr>
              <w:sym w:font="Wingdings" w:char="00A8"/>
            </w:r>
            <w:r>
              <w:rPr>
                <w:rFonts w:hint="eastAsia" w:ascii="楷体" w:hAnsi="楷体" w:eastAsia="楷体"/>
                <w:sz w:val="24"/>
                <w:szCs w:val="24"/>
                <w:lang w:val="en-US" w:eastAsia="zh-CN"/>
              </w:rPr>
              <w:t xml:space="preserve">电梯 </w:t>
            </w:r>
          </w:p>
          <w:tbl>
            <w:tblPr>
              <w:tblStyle w:val="13"/>
              <w:tblW w:w="9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220"/>
              <w:gridCol w:w="1870"/>
              <w:gridCol w:w="1890"/>
              <w:gridCol w:w="159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4" w:type="dxa"/>
                </w:tcPr>
                <w:p>
                  <w:pPr>
                    <w:spacing w:after="0" w:line="240" w:lineRule="auto"/>
                    <w:rPr>
                      <w:rFonts w:hint="eastAsia" w:eastAsia="宋体"/>
                      <w:highlight w:val="none"/>
                      <w:lang w:val="en-US" w:eastAsia="zh-CN"/>
                    </w:rPr>
                  </w:pPr>
                  <w:r>
                    <w:rPr>
                      <w:rFonts w:hint="eastAsia"/>
                      <w:highlight w:val="none"/>
                    </w:rPr>
                    <w:t>设备</w:t>
                  </w:r>
                  <w:r>
                    <w:rPr>
                      <w:rFonts w:hint="eastAsia"/>
                      <w:highlight w:val="none"/>
                      <w:lang w:val="en-US" w:eastAsia="zh-CN"/>
                    </w:rPr>
                    <w:t>名称</w:t>
                  </w:r>
                </w:p>
              </w:tc>
              <w:tc>
                <w:tcPr>
                  <w:tcW w:w="2220" w:type="dxa"/>
                </w:tcPr>
                <w:p>
                  <w:pPr>
                    <w:spacing w:after="0" w:line="240" w:lineRule="auto"/>
                    <w:rPr>
                      <w:rFonts w:hint="eastAsia"/>
                      <w:highlight w:val="none"/>
                    </w:rPr>
                  </w:pPr>
                  <w:r>
                    <w:rPr>
                      <w:rFonts w:hint="eastAsia"/>
                      <w:highlight w:val="none"/>
                      <w:lang w:val="en-US" w:eastAsia="zh-CN"/>
                    </w:rPr>
                    <w:t>使用等级证</w:t>
                  </w:r>
                  <w:r>
                    <w:rPr>
                      <w:rFonts w:hint="eastAsia"/>
                      <w:highlight w:val="none"/>
                    </w:rPr>
                    <w:t>编号</w:t>
                  </w:r>
                </w:p>
              </w:tc>
              <w:tc>
                <w:tcPr>
                  <w:tcW w:w="1870" w:type="dxa"/>
                </w:tcPr>
                <w:p>
                  <w:pPr>
                    <w:spacing w:after="0" w:line="240" w:lineRule="auto"/>
                    <w:rPr>
                      <w:highlight w:val="none"/>
                    </w:rPr>
                  </w:pPr>
                  <w:r>
                    <w:rPr>
                      <w:rFonts w:hint="eastAsia"/>
                      <w:highlight w:val="none"/>
                    </w:rPr>
                    <w:t>检测报告编号</w:t>
                  </w:r>
                </w:p>
              </w:tc>
              <w:tc>
                <w:tcPr>
                  <w:tcW w:w="1890" w:type="dxa"/>
                </w:tcPr>
                <w:p>
                  <w:pPr>
                    <w:spacing w:after="0" w:line="240" w:lineRule="auto"/>
                    <w:rPr>
                      <w:highlight w:val="none"/>
                    </w:rPr>
                  </w:pPr>
                  <w:r>
                    <w:rPr>
                      <w:rFonts w:hint="eastAsia"/>
                      <w:highlight w:val="none"/>
                    </w:rPr>
                    <w:t>有效期期限</w:t>
                  </w:r>
                </w:p>
              </w:tc>
              <w:tc>
                <w:tcPr>
                  <w:tcW w:w="1590" w:type="dxa"/>
                </w:tcPr>
                <w:p>
                  <w:pPr>
                    <w:spacing w:after="0" w:line="240" w:lineRule="auto"/>
                    <w:rPr>
                      <w:highlight w:val="none"/>
                    </w:rPr>
                  </w:pPr>
                  <w:r>
                    <w:rPr>
                      <w:rFonts w:hint="eastAsia"/>
                      <w:highlight w:val="none"/>
                    </w:rPr>
                    <w:t>结论</w:t>
                  </w:r>
                </w:p>
              </w:tc>
              <w:tc>
                <w:tcPr>
                  <w:tcW w:w="1300" w:type="dxa"/>
                </w:tcPr>
                <w:p>
                  <w:pPr>
                    <w:spacing w:after="0" w:line="240" w:lineRule="auto"/>
                    <w:rPr>
                      <w:highlight w:val="none"/>
                    </w:rPr>
                  </w:pPr>
                  <w:r>
                    <w:rPr>
                      <w:rFonts w:hint="eastAsia"/>
                      <w:highlight w:val="none"/>
                    </w:rPr>
                    <w:t>使用登记证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94" w:type="dxa"/>
                </w:tcPr>
                <w:p>
                  <w:pPr>
                    <w:spacing w:after="0" w:line="240" w:lineRule="auto"/>
                    <w:rPr>
                      <w:highlight w:val="none"/>
                    </w:rPr>
                  </w:pPr>
                  <w:r>
                    <w:rPr>
                      <w:rFonts w:hint="eastAsia"/>
                      <w:highlight w:val="none"/>
                    </w:rPr>
                    <w:t>叉车</w:t>
                  </w:r>
                </w:p>
              </w:tc>
              <w:tc>
                <w:tcPr>
                  <w:tcW w:w="2220" w:type="dxa"/>
                </w:tcPr>
                <w:p>
                  <w:pPr>
                    <w:spacing w:after="0" w:line="240" w:lineRule="auto"/>
                    <w:rPr>
                      <w:rFonts w:hint="default" w:eastAsia="宋体"/>
                      <w:highlight w:val="none"/>
                      <w:lang w:val="en-US" w:eastAsia="zh-CN"/>
                    </w:rPr>
                  </w:pPr>
                  <w:r>
                    <w:rPr>
                      <w:rFonts w:hint="eastAsia"/>
                      <w:highlight w:val="none"/>
                      <w:u w:val="single"/>
                      <w:lang w:val="en-US" w:eastAsia="zh-CN"/>
                    </w:rPr>
                    <w:t>场内浙E90241</w:t>
                  </w:r>
                </w:p>
              </w:tc>
              <w:tc>
                <w:tcPr>
                  <w:tcW w:w="1870"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CJD202101000</w:t>
                  </w:r>
                </w:p>
              </w:tc>
              <w:tc>
                <w:tcPr>
                  <w:tcW w:w="1890" w:type="dxa"/>
                </w:tcPr>
                <w:p>
                  <w:pPr>
                    <w:spacing w:after="0" w:line="240" w:lineRule="auto"/>
                    <w:rPr>
                      <w:rFonts w:hint="eastAsia" w:eastAsia="宋体"/>
                      <w:highlight w:val="none"/>
                      <w:lang w:val="en-US" w:eastAsia="zh-CN"/>
                    </w:rPr>
                  </w:pPr>
                  <w:r>
                    <w:rPr>
                      <w:rFonts w:hint="eastAsia"/>
                      <w:highlight w:val="none"/>
                      <w:lang w:val="en-US" w:eastAsia="zh-CN"/>
                    </w:rPr>
                    <w:t>2022</w:t>
                  </w:r>
                  <w:r>
                    <w:rPr>
                      <w:rFonts w:hint="eastAsia"/>
                      <w:highlight w:val="none"/>
                    </w:rPr>
                    <w:t>年</w:t>
                  </w:r>
                  <w:r>
                    <w:rPr>
                      <w:rFonts w:hint="eastAsia"/>
                      <w:highlight w:val="none"/>
                      <w:lang w:val="en-US" w:eastAsia="zh-CN"/>
                    </w:rPr>
                    <w:t>1</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tcPr>
                <w:p>
                  <w:pPr>
                    <w:spacing w:after="0" w:line="240" w:lineRule="auto"/>
                    <w:rPr>
                      <w:highlight w:val="none"/>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94" w:type="dxa"/>
                  <w:vAlign w:val="top"/>
                </w:tcPr>
                <w:p>
                  <w:pPr>
                    <w:spacing w:after="0" w:line="240" w:lineRule="auto"/>
                    <w:rPr>
                      <w:rFonts w:hint="default" w:eastAsia="宋体"/>
                      <w:highlight w:val="none"/>
                      <w:lang w:val="en-US" w:eastAsia="zh-CN"/>
                    </w:rPr>
                  </w:pPr>
                  <w:r>
                    <w:rPr>
                      <w:rFonts w:hint="eastAsia"/>
                      <w:highlight w:val="none"/>
                    </w:rPr>
                    <w:t>叉车</w:t>
                  </w:r>
                </w:p>
              </w:tc>
              <w:tc>
                <w:tcPr>
                  <w:tcW w:w="2220" w:type="dxa"/>
                  <w:vAlign w:val="top"/>
                </w:tcPr>
                <w:p>
                  <w:pPr>
                    <w:spacing w:after="0" w:line="240" w:lineRule="auto"/>
                    <w:rPr>
                      <w:rFonts w:hint="default"/>
                      <w:highlight w:val="none"/>
                      <w:lang w:val="en-US" w:eastAsia="zh-CN"/>
                    </w:rPr>
                  </w:pPr>
                  <w:r>
                    <w:rPr>
                      <w:rFonts w:hint="eastAsia"/>
                      <w:highlight w:val="none"/>
                      <w:u w:val="single"/>
                      <w:lang w:val="en-US" w:eastAsia="zh-CN"/>
                    </w:rPr>
                    <w:t>车11浙ED01626(20)</w:t>
                  </w:r>
                </w:p>
              </w:tc>
              <w:tc>
                <w:tcPr>
                  <w:tcW w:w="1870" w:type="dxa"/>
                  <w:vAlign w:val="top"/>
                </w:tcPr>
                <w:p>
                  <w:pPr>
                    <w:spacing w:after="0" w:line="240" w:lineRule="auto"/>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CJD202110452</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w:t>
                  </w:r>
                  <w:r>
                    <w:rPr>
                      <w:rFonts w:hint="eastAsia"/>
                      <w:highlight w:val="none"/>
                    </w:rPr>
                    <w:t>年</w:t>
                  </w:r>
                  <w:r>
                    <w:rPr>
                      <w:rFonts w:hint="eastAsia"/>
                      <w:highlight w:val="none"/>
                      <w:lang w:val="en-US" w:eastAsia="zh-CN"/>
                    </w:rPr>
                    <w:t>9</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highlight w:val="none"/>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4" w:type="dxa"/>
                </w:tcPr>
                <w:p>
                  <w:pPr>
                    <w:spacing w:after="0" w:line="240" w:lineRule="auto"/>
                    <w:rPr>
                      <w:rFonts w:hint="default"/>
                      <w:highlight w:val="none"/>
                      <w:lang w:val="en-US" w:eastAsia="zh-CN"/>
                    </w:rPr>
                  </w:pPr>
                  <w:r>
                    <w:rPr>
                      <w:rFonts w:hint="eastAsia"/>
                      <w:highlight w:val="none"/>
                      <w:lang w:val="en-US" w:eastAsia="zh-CN"/>
                    </w:rPr>
                    <w:t>行车</w:t>
                  </w:r>
                </w:p>
              </w:tc>
              <w:tc>
                <w:tcPr>
                  <w:tcW w:w="2220" w:type="dxa"/>
                </w:tcPr>
                <w:p>
                  <w:pPr>
                    <w:spacing w:after="0" w:line="240" w:lineRule="auto"/>
                    <w:rPr>
                      <w:rFonts w:hint="default"/>
                      <w:highlight w:val="none"/>
                      <w:lang w:val="en-US" w:eastAsia="zh-CN"/>
                    </w:rPr>
                  </w:pPr>
                  <w:r>
                    <w:rPr>
                      <w:rFonts w:hint="eastAsia"/>
                      <w:highlight w:val="none"/>
                      <w:lang w:val="en-US" w:eastAsia="zh-CN"/>
                    </w:rPr>
                    <w:t>起1700038（18）</w:t>
                  </w:r>
                </w:p>
              </w:tc>
              <w:tc>
                <w:tcPr>
                  <w:tcW w:w="1870" w:type="dxa"/>
                </w:tcPr>
                <w:p>
                  <w:pPr>
                    <w:spacing w:after="0" w:line="240" w:lineRule="auto"/>
                    <w:rPr>
                      <w:rFonts w:hint="default" w:eastAsia="宋体"/>
                      <w:highlight w:val="none"/>
                      <w:lang w:val="en-US" w:eastAsia="zh-CN"/>
                    </w:rPr>
                  </w:pPr>
                  <w:r>
                    <w:rPr>
                      <w:rFonts w:hint="eastAsia"/>
                      <w:highlight w:val="none"/>
                      <w:lang w:val="en-US" w:eastAsia="zh-CN"/>
                    </w:rPr>
                    <w:t>QQD202003706</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2022</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 xml:space="preserve"> </w:t>
                  </w:r>
                  <w:r>
                    <w:rPr>
                      <w:rFonts w:hint="eastAsia"/>
                      <w:highlight w:val="none"/>
                    </w:rPr>
                    <w:t>日</w:t>
                  </w:r>
                </w:p>
              </w:tc>
              <w:tc>
                <w:tcPr>
                  <w:tcW w:w="1590" w:type="dxa"/>
                  <w:vAlign w:val="top"/>
                </w:tcPr>
                <w:p>
                  <w:pPr>
                    <w:spacing w:after="0" w:line="240" w:lineRule="auto"/>
                    <w:rPr>
                      <w:rFonts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94" w:type="dxa"/>
                  <w:vAlign w:val="top"/>
                </w:tcPr>
                <w:p>
                  <w:pPr>
                    <w:spacing w:after="0" w:line="240" w:lineRule="auto"/>
                    <w:rPr>
                      <w:rFonts w:hint="default"/>
                      <w:highlight w:val="none"/>
                      <w:lang w:val="en-US" w:eastAsia="zh-CN"/>
                    </w:rPr>
                  </w:pPr>
                  <w:r>
                    <w:rPr>
                      <w:rFonts w:hint="eastAsia"/>
                      <w:highlight w:val="none"/>
                      <w:lang w:val="en-US" w:eastAsia="zh-CN"/>
                    </w:rPr>
                    <w:t>行车</w:t>
                  </w:r>
                </w:p>
              </w:tc>
              <w:tc>
                <w:tcPr>
                  <w:tcW w:w="2220" w:type="dxa"/>
                  <w:vAlign w:val="top"/>
                </w:tcPr>
                <w:p>
                  <w:pPr>
                    <w:spacing w:after="0" w:line="240" w:lineRule="auto"/>
                    <w:rPr>
                      <w:rFonts w:hint="eastAsia"/>
                      <w:highlight w:val="none"/>
                      <w:lang w:val="en-US" w:eastAsia="zh-CN"/>
                    </w:rPr>
                  </w:pPr>
                  <w:r>
                    <w:rPr>
                      <w:rFonts w:hint="eastAsia"/>
                      <w:highlight w:val="none"/>
                      <w:lang w:val="en-US" w:eastAsia="zh-CN"/>
                    </w:rPr>
                    <w:t>起17浙ED00250（21）</w:t>
                  </w:r>
                </w:p>
              </w:tc>
              <w:tc>
                <w:tcPr>
                  <w:tcW w:w="1870" w:type="dxa"/>
                  <w:vAlign w:val="top"/>
                </w:tcPr>
                <w:p>
                  <w:pPr>
                    <w:spacing w:after="0" w:line="240" w:lineRule="auto"/>
                    <w:rPr>
                      <w:rFonts w:hint="default"/>
                      <w:highlight w:val="none"/>
                      <w:lang w:val="en-US" w:eastAsia="zh-CN"/>
                    </w:rPr>
                  </w:pPr>
                  <w:r>
                    <w:rPr>
                      <w:rFonts w:hint="eastAsia"/>
                      <w:highlight w:val="none"/>
                      <w:lang w:val="en-US" w:eastAsia="zh-CN"/>
                    </w:rPr>
                    <w:t>QQD202102379</w:t>
                  </w:r>
                </w:p>
              </w:tc>
              <w:tc>
                <w:tcPr>
                  <w:tcW w:w="18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2023</w:t>
                  </w:r>
                  <w:r>
                    <w:rPr>
                      <w:rFonts w:hint="eastAsia"/>
                      <w:highlight w:val="none"/>
                    </w:rPr>
                    <w:t>年</w:t>
                  </w:r>
                  <w:r>
                    <w:rPr>
                      <w:rFonts w:hint="eastAsia"/>
                      <w:highlight w:val="none"/>
                      <w:lang w:val="en-US" w:eastAsia="zh-CN"/>
                    </w:rPr>
                    <w:t>6</w:t>
                  </w:r>
                  <w:r>
                    <w:rPr>
                      <w:rFonts w:hint="eastAsia"/>
                      <w:highlight w:val="none"/>
                    </w:rPr>
                    <w:t>月</w:t>
                  </w:r>
                  <w:r>
                    <w:rPr>
                      <w:rFonts w:hint="eastAsia"/>
                      <w:highlight w:val="none"/>
                      <w:lang w:val="en-US" w:eastAsia="zh-CN"/>
                    </w:rPr>
                    <w:t>6</w:t>
                  </w:r>
                  <w:r>
                    <w:rPr>
                      <w:rFonts w:hint="eastAsia"/>
                      <w:highlight w:val="none"/>
                    </w:rPr>
                    <w:t>日</w:t>
                  </w:r>
                </w:p>
              </w:tc>
              <w:tc>
                <w:tcPr>
                  <w:tcW w:w="159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有效</w:t>
                  </w:r>
                  <w:r>
                    <w:rPr>
                      <w:rFonts w:hint="eastAsia"/>
                      <w:highlight w:val="none"/>
                      <w:lang w:val="en-US" w:eastAsia="zh-CN"/>
                    </w:rPr>
                    <w:t xml:space="preserve"> </w:t>
                  </w:r>
                  <w:r>
                    <w:rPr>
                      <w:rFonts w:hint="eastAsia" w:ascii="Calibri" w:hAnsi="Calibri"/>
                      <w:highlight w:val="none"/>
                      <w:lang w:eastAsia="zh-CN"/>
                    </w:rPr>
                    <w:sym w:font="Wingdings 2" w:char="00A3"/>
                  </w:r>
                  <w:r>
                    <w:rPr>
                      <w:rFonts w:hint="eastAsia"/>
                      <w:highlight w:val="none"/>
                    </w:rPr>
                    <w:t>过期</w:t>
                  </w:r>
                </w:p>
              </w:tc>
              <w:tc>
                <w:tcPr>
                  <w:tcW w:w="1300" w:type="dxa"/>
                  <w:vAlign w:val="top"/>
                </w:tcPr>
                <w:p>
                  <w:pPr>
                    <w:spacing w:after="0" w:line="240" w:lineRule="auto"/>
                    <w:rPr>
                      <w:rFonts w:hint="eastAsia" w:ascii="Times New Roman" w:hAnsi="Times New Roman" w:eastAsia="宋体" w:cs="Times New Roman"/>
                      <w:kern w:val="2"/>
                      <w:sz w:val="21"/>
                      <w:highlight w:val="none"/>
                      <w:lang w:val="en-US" w:eastAsia="zh-CN" w:bidi="ar-SA"/>
                    </w:rPr>
                  </w:pPr>
                  <w:r>
                    <w:rPr>
                      <w:rFonts w:hint="eastAsia" w:ascii="Calibri" w:hAnsi="Calibri"/>
                      <w:highlight w:val="none"/>
                      <w:lang w:eastAsia="zh-CN"/>
                    </w:rPr>
                    <w:t>☑</w:t>
                  </w:r>
                  <w:r>
                    <w:rPr>
                      <w:rFonts w:hint="eastAsia"/>
                      <w:highlight w:val="none"/>
                    </w:rPr>
                    <w:t xml:space="preserve">有  </w:t>
                  </w:r>
                  <w:r>
                    <w:rPr>
                      <w:rFonts w:hint="eastAsia" w:ascii="Calibri" w:hAnsi="Calibri"/>
                      <w:highlight w:val="none"/>
                      <w:lang w:eastAsia="zh-CN"/>
                    </w:rPr>
                    <w:t>□</w:t>
                  </w:r>
                  <w:r>
                    <w:rPr>
                      <w:rFonts w:hint="eastAsia"/>
                      <w:highlight w:val="none"/>
                      <w:lang w:val="en-US" w:eastAsia="zh-CN"/>
                    </w:rPr>
                    <w:t>无</w:t>
                  </w:r>
                </w:p>
              </w:tc>
            </w:tr>
          </w:tbl>
          <w:p>
            <w:pPr>
              <w:pStyle w:val="2"/>
            </w:pPr>
          </w:p>
          <w:p>
            <w:pPr>
              <w:spacing w:line="360" w:lineRule="auto"/>
              <w:ind w:firstLine="240" w:firstLineChars="100"/>
              <w:rPr>
                <w:rFonts w:ascii="楷体" w:hAnsi="楷体" w:eastAsia="楷体"/>
                <w:sz w:val="24"/>
                <w:szCs w:val="24"/>
              </w:rPr>
            </w:pPr>
            <w:r>
              <w:rPr>
                <w:rFonts w:hint="eastAsia" w:ascii="楷体" w:hAnsi="楷体" w:eastAsia="楷体"/>
                <w:sz w:val="24"/>
                <w:szCs w:val="24"/>
              </w:rPr>
              <w:t>以上基础设施基本可以满足体系运行的需要。</w:t>
            </w:r>
          </w:p>
        </w:tc>
        <w:tc>
          <w:tcPr>
            <w:tcW w:w="1585" w:type="dxa"/>
          </w:tcPr>
          <w:p>
            <w:pPr>
              <w:spacing w:line="360" w:lineRule="auto"/>
              <w:rPr>
                <w:rFonts w:ascii="宋体" w:hAnsi="宋体" w:cs="Arial"/>
                <w:sz w:val="24"/>
                <w:szCs w:val="24"/>
              </w:rPr>
            </w:pPr>
            <w:r>
              <w:rPr>
                <w:rFonts w:hint="eastAsia" w:ascii="宋体" w:hAnsi="宋体" w:cs="Arial"/>
                <w:sz w:val="24"/>
                <w:szCs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color w:val="000000"/>
                <w:sz w:val="24"/>
                <w:szCs w:val="24"/>
              </w:rPr>
            </w:pPr>
            <w:r>
              <w:rPr>
                <w:rFonts w:hint="eastAsia" w:ascii="楷体" w:hAnsi="楷体" w:eastAsia="楷体" w:cs="宋体"/>
                <w:bCs/>
                <w:color w:val="000000"/>
                <w:sz w:val="24"/>
                <w:szCs w:val="24"/>
              </w:rPr>
              <w:t>过程运行环境</w:t>
            </w:r>
          </w:p>
          <w:p>
            <w:pPr>
              <w:spacing w:line="360" w:lineRule="auto"/>
              <w:rPr>
                <w:rFonts w:ascii="楷体" w:hAnsi="楷体" w:eastAsia="楷体"/>
                <w:b/>
                <w:sz w:val="24"/>
                <w:szCs w:val="24"/>
              </w:rPr>
            </w:pPr>
          </w:p>
        </w:tc>
        <w:tc>
          <w:tcPr>
            <w:tcW w:w="1311" w:type="dxa"/>
            <w:vAlign w:val="center"/>
          </w:tcPr>
          <w:p>
            <w:pPr>
              <w:spacing w:line="360" w:lineRule="auto"/>
              <w:rPr>
                <w:rFonts w:ascii="楷体" w:hAnsi="楷体" w:eastAsia="楷体"/>
                <w:sz w:val="24"/>
                <w:szCs w:val="24"/>
              </w:rPr>
            </w:pPr>
            <w:r>
              <w:rPr>
                <w:rFonts w:hint="eastAsia" w:ascii="楷体" w:hAnsi="楷体" w:eastAsia="楷体"/>
                <w:sz w:val="24"/>
                <w:szCs w:val="24"/>
              </w:rPr>
              <w:t>Q7.1.4</w:t>
            </w:r>
          </w:p>
          <w:p>
            <w:pPr>
              <w:spacing w:line="360" w:lineRule="auto"/>
              <w:jc w:val="center"/>
              <w:rPr>
                <w:rFonts w:ascii="楷体" w:hAnsi="楷体" w:eastAsia="楷体"/>
                <w:sz w:val="24"/>
                <w:szCs w:val="24"/>
              </w:rPr>
            </w:pPr>
          </w:p>
        </w:tc>
        <w:tc>
          <w:tcPr>
            <w:tcW w:w="10004" w:type="dxa"/>
            <w:vAlign w:val="center"/>
          </w:tcPr>
          <w:p>
            <w:pPr>
              <w:snapToGrid w:val="0"/>
              <w:spacing w:line="400" w:lineRule="exact"/>
              <w:ind w:right="392" w:firstLine="405"/>
              <w:rPr>
                <w:rFonts w:ascii="楷体" w:hAnsi="楷体" w:eastAsia="楷体"/>
                <w:sz w:val="24"/>
                <w:szCs w:val="24"/>
              </w:rPr>
            </w:pPr>
            <w:r>
              <w:rPr>
                <w:rFonts w:hint="eastAsia" w:ascii="楷体" w:hAnsi="楷体" w:eastAsia="楷体"/>
                <w:sz w:val="24"/>
                <w:szCs w:val="24"/>
              </w:rPr>
              <w:t xml:space="preserve">生产部负责工作环境的管理，组织确定并提供了产品要求所需的工作环境。 </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 xml:space="preserve">部门负责人介绍了生产车间现场管理、生产加工、物资摆放、现场卫生等的要求。 </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每个工序均有看板控制要求。</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本公司产品对环境要求一般，无特殊要求。每天上班期间，本人对生产车间进行不定期检查，车间不准随意乱放私人物品，严格杜绝固废随处乱扔、设备空转、吸烟的行为发生，发现问题及时要求责任人进行整改。对做得不合格的地方进行了处罚、立即改正。</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每天班前班后由班长组织按照规定要求，对生产车间进行清理，满足要求后下班；发现问题及时解决。</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lang w:val="en-US" w:eastAsia="zh-CN"/>
              </w:rPr>
              <w:t>现场</w:t>
            </w:r>
            <w:r>
              <w:rPr>
                <w:rFonts w:hint="eastAsia" w:ascii="楷体" w:hAnsi="楷体" w:eastAsia="楷体"/>
                <w:sz w:val="24"/>
                <w:szCs w:val="24"/>
              </w:rPr>
              <w:t>查看：</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生产环境适宜，生产车间面积较大，产品摆放场地宽敞平整，车间内设备安装合理，通风、采光效果良好；库房内原材料、成品分区存放，均按规定高度码放，通风、采光良好；生产车间，配备灭火设施，有防火、用电等警示标志。</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组织进行的</w:t>
            </w:r>
            <w:r>
              <w:rPr>
                <w:rFonts w:hint="eastAsia" w:ascii="楷体" w:hAnsi="楷体" w:eastAsia="楷体"/>
                <w:sz w:val="24"/>
                <w:szCs w:val="24"/>
                <w:lang w:val="en-US" w:eastAsia="zh-CN"/>
              </w:rPr>
              <w:t>焊接、切割</w:t>
            </w:r>
            <w:r>
              <w:rPr>
                <w:rFonts w:hint="eastAsia" w:ascii="楷体" w:hAnsi="楷体" w:eastAsia="楷体"/>
                <w:sz w:val="24"/>
                <w:szCs w:val="24"/>
              </w:rPr>
              <w:t>，产生</w:t>
            </w:r>
            <w:r>
              <w:rPr>
                <w:rFonts w:hint="eastAsia" w:ascii="楷体" w:hAnsi="楷体" w:eastAsia="楷体"/>
                <w:sz w:val="24"/>
                <w:szCs w:val="24"/>
                <w:lang w:val="en-US" w:eastAsia="zh-CN"/>
              </w:rPr>
              <w:t>烟尘、</w:t>
            </w:r>
            <w:r>
              <w:rPr>
                <w:rFonts w:hint="eastAsia" w:ascii="楷体" w:hAnsi="楷体" w:eastAsia="楷体"/>
                <w:sz w:val="24"/>
                <w:szCs w:val="24"/>
              </w:rPr>
              <w:t>粉尘、噪声，通过戴口罩和减震措施的实施，</w:t>
            </w:r>
            <w:r>
              <w:rPr>
                <w:rFonts w:hint="eastAsia" w:ascii="楷体" w:hAnsi="楷体" w:eastAsia="楷体"/>
                <w:sz w:val="24"/>
                <w:szCs w:val="24"/>
                <w:lang w:val="en-US" w:eastAsia="zh-CN"/>
              </w:rPr>
              <w:t>减少</w:t>
            </w:r>
            <w:r>
              <w:rPr>
                <w:rFonts w:hint="eastAsia" w:ascii="楷体" w:hAnsi="楷体" w:eastAsia="楷体"/>
                <w:sz w:val="24"/>
                <w:szCs w:val="24"/>
              </w:rPr>
              <w:t>对人员产生不利影响。</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员工根据工种的不同，配有相关的劳动防护用品（工作服、手套、口罩等），并且佩戴合理。</w:t>
            </w:r>
          </w:p>
          <w:p>
            <w:pPr>
              <w:spacing w:line="360" w:lineRule="auto"/>
              <w:ind w:firstLine="465"/>
              <w:rPr>
                <w:rFonts w:ascii="楷体" w:hAnsi="楷体" w:eastAsia="楷体"/>
                <w:sz w:val="24"/>
                <w:szCs w:val="24"/>
              </w:rPr>
            </w:pPr>
            <w:r>
              <w:rPr>
                <w:rFonts w:hint="eastAsia" w:ascii="楷体" w:hAnsi="楷体" w:eastAsia="楷体"/>
                <w:sz w:val="24"/>
                <w:szCs w:val="24"/>
              </w:rPr>
              <w:t>工作环境均能满足生产合格产品的要求，未发现有不良的环境因素。</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line="360" w:lineRule="auto"/>
              <w:rPr>
                <w:rFonts w:ascii="楷体" w:hAnsi="楷体" w:eastAsia="楷体" w:cs="宋体"/>
                <w:bCs/>
                <w:sz w:val="24"/>
                <w:szCs w:val="24"/>
              </w:rPr>
            </w:pPr>
            <w:r>
              <w:rPr>
                <w:rFonts w:hint="eastAsia" w:ascii="楷体" w:hAnsi="楷体" w:eastAsia="楷体" w:cs="宋体"/>
                <w:bCs/>
                <w:sz w:val="24"/>
                <w:szCs w:val="24"/>
              </w:rPr>
              <w:t>运行的策划和控制</w:t>
            </w:r>
          </w:p>
          <w:p>
            <w:pPr>
              <w:spacing w:line="360" w:lineRule="auto"/>
              <w:rPr>
                <w:rFonts w:ascii="楷体" w:hAnsi="楷体" w:eastAsia="楷体"/>
                <w:b/>
                <w:sz w:val="24"/>
                <w:szCs w:val="24"/>
              </w:rPr>
            </w:pPr>
          </w:p>
        </w:tc>
        <w:tc>
          <w:tcPr>
            <w:tcW w:w="1311" w:type="dxa"/>
          </w:tcPr>
          <w:p>
            <w:pPr>
              <w:spacing w:line="360" w:lineRule="auto"/>
              <w:rPr>
                <w:rFonts w:ascii="楷体" w:hAnsi="楷体" w:eastAsia="楷体"/>
                <w:b/>
                <w:sz w:val="24"/>
                <w:szCs w:val="24"/>
              </w:rPr>
            </w:pPr>
            <w:r>
              <w:rPr>
                <w:rFonts w:hint="eastAsia" w:ascii="楷体" w:hAnsi="楷体" w:eastAsia="楷体"/>
                <w:bCs/>
                <w:sz w:val="24"/>
                <w:szCs w:val="24"/>
              </w:rPr>
              <w:t>Q8.1</w:t>
            </w:r>
          </w:p>
        </w:tc>
        <w:tc>
          <w:tcPr>
            <w:tcW w:w="10004" w:type="dxa"/>
          </w:tcPr>
          <w:p>
            <w:pPr>
              <w:tabs>
                <w:tab w:val="left" w:pos="6597"/>
              </w:tabs>
              <w:spacing w:line="360" w:lineRule="auto"/>
              <w:ind w:firstLine="480" w:firstLineChars="200"/>
              <w:rPr>
                <w:rFonts w:hint="eastAsia" w:ascii="楷体" w:hAnsi="楷体" w:eastAsia="楷体"/>
                <w:sz w:val="24"/>
                <w:szCs w:val="24"/>
              </w:rPr>
            </w:pPr>
            <w:r>
              <w:rPr>
                <w:rFonts w:hint="eastAsia" w:ascii="楷体" w:hAnsi="楷体" w:eastAsia="楷体"/>
                <w:sz w:val="24"/>
                <w:szCs w:val="24"/>
              </w:rPr>
              <w:t>组织对智能物流设备</w:t>
            </w:r>
            <w:r>
              <w:rPr>
                <w:rFonts w:hint="eastAsia" w:ascii="楷体" w:hAnsi="楷体" w:eastAsia="楷体"/>
                <w:sz w:val="24"/>
                <w:szCs w:val="24"/>
                <w:lang w:eastAsia="zh-CN"/>
              </w:rPr>
              <w:t>、</w:t>
            </w:r>
            <w:r>
              <w:rPr>
                <w:rFonts w:hint="eastAsia" w:ascii="楷体" w:hAnsi="楷体" w:eastAsia="楷体"/>
                <w:sz w:val="24"/>
                <w:szCs w:val="24"/>
              </w:rPr>
              <w:t>智能包装设备的生产和服务；过程进行了策划。</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工艺流程：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钢材 → 切割 → 剪折→冲压→焊接 →组装→调试→入库</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其中： 焊接为特殊过程。</w:t>
            </w:r>
          </w:p>
          <w:p>
            <w:pPr>
              <w:pStyle w:val="2"/>
              <w:rPr>
                <w:rFonts w:hint="eastAsia" w:ascii="楷体" w:hAnsi="楷体" w:eastAsia="楷体"/>
                <w:sz w:val="24"/>
                <w:szCs w:val="24"/>
                <w:lang w:val="en-US" w:eastAsia="zh-CN"/>
              </w:rPr>
            </w:pPr>
          </w:p>
          <w:p>
            <w:pPr>
              <w:pStyle w:val="2"/>
              <w:rPr>
                <w:rFonts w:hint="default" w:ascii="楷体" w:hAnsi="楷体" w:eastAsia="楷体"/>
                <w:sz w:val="24"/>
                <w:szCs w:val="24"/>
                <w:lang w:val="en-US" w:eastAsia="zh-CN"/>
              </w:rPr>
            </w:pPr>
            <w:r>
              <w:rPr>
                <w:rFonts w:hint="eastAsia" w:ascii="楷体" w:hAnsi="楷体" w:eastAsia="楷体"/>
                <w:sz w:val="24"/>
                <w:szCs w:val="24"/>
                <w:lang w:val="en-US" w:eastAsia="zh-CN"/>
              </w:rPr>
              <w:t>质量关键过程（工序）：组装、调试；相关控制参数：功能检测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需要确认的过程（工序）：焊接</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外包过程：喷塑    </w:t>
            </w:r>
          </w:p>
          <w:p>
            <w:pPr>
              <w:rPr>
                <w:rFonts w:hint="eastAsia"/>
                <w:highlight w:val="none"/>
                <w:lang w:val="en-US" w:eastAsia="zh-CN"/>
              </w:rPr>
            </w:pPr>
            <w:r>
              <w:rPr>
                <w:rFonts w:hint="eastAsia"/>
                <w:highlight w:val="none"/>
                <w:lang w:val="en-US" w:eastAsia="zh-CN"/>
              </w:rPr>
              <w:t>查看需要确认的过程控制：</w:t>
            </w:r>
          </w:p>
          <w:p>
            <w:pPr>
              <w:rPr>
                <w:rFonts w:hint="eastAsia"/>
                <w:u w:val="single"/>
                <w:lang w:val="en-US" w:eastAsia="zh-CN"/>
              </w:rPr>
            </w:pPr>
            <w:r>
              <w:rPr>
                <w:rFonts w:hint="eastAsia"/>
                <w:lang w:val="en-US" w:eastAsia="zh-CN"/>
              </w:rPr>
              <w:t>抽取</w:t>
            </w:r>
            <w:r>
              <w:rPr>
                <w:rFonts w:hint="eastAsia"/>
                <w:b/>
                <w:bCs/>
                <w:lang w:val="en-US" w:eastAsia="zh-CN"/>
              </w:rPr>
              <w:t>过程确认</w:t>
            </w:r>
            <w:r>
              <w:rPr>
                <w:rFonts w:hint="eastAsia"/>
                <w:lang w:val="en-US" w:eastAsia="zh-CN"/>
              </w:rPr>
              <w:t>相关记录名称：</w:t>
            </w:r>
            <w:r>
              <w:rPr>
                <w:rFonts w:hint="eastAsia"/>
                <w:u w:val="single"/>
                <w:lang w:val="en-US" w:eastAsia="zh-CN"/>
              </w:rPr>
              <w:t>《特殊(关键)过程确认表》</w:t>
            </w:r>
          </w:p>
          <w:p>
            <w:pPr>
              <w:pStyle w:val="2"/>
              <w:rPr>
                <w:rFonts w:hint="eastAsia" w:ascii="楷体" w:hAnsi="楷体" w:eastAsia="楷体"/>
                <w:sz w:val="24"/>
                <w:szCs w:val="24"/>
                <w:lang w:val="en-US" w:eastAsia="zh-CN"/>
              </w:rPr>
            </w:pPr>
          </w:p>
          <w:tbl>
            <w:tblPr>
              <w:tblStyle w:val="13"/>
              <w:tblW w:w="9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确认日期</w:t>
                  </w:r>
                </w:p>
              </w:tc>
              <w:tc>
                <w:tcPr>
                  <w:tcW w:w="7988" w:type="dxa"/>
                  <w:vAlign w:val="center"/>
                </w:tcPr>
                <w:p>
                  <w:pPr>
                    <w:jc w:val="center"/>
                    <w:rPr>
                      <w:rFonts w:hint="default"/>
                      <w:color w:val="auto"/>
                      <w:vertAlign w:val="baseline"/>
                      <w:lang w:val="en-US" w:eastAsia="zh-CN"/>
                    </w:rPr>
                  </w:pPr>
                  <w:r>
                    <w:rPr>
                      <w:rFonts w:hint="eastAsia" w:ascii="楷体" w:hAnsi="楷体" w:eastAsia="楷体" w:cs="宋体"/>
                      <w:color w:val="000000"/>
                      <w:kern w:val="2"/>
                      <w:sz w:val="24"/>
                      <w:szCs w:val="24"/>
                      <w:lang w:val="en-US" w:eastAsia="zh-CN" w:bidi="ar-SA"/>
                    </w:rPr>
                    <w:t>2021.4.30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确认过程</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焊接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default"/>
                      <w:color w:val="auto"/>
                      <w:vertAlign w:val="baseline"/>
                      <w:lang w:val="en-US" w:eastAsia="zh-CN"/>
                    </w:rPr>
                  </w:pPr>
                  <w:r>
                    <w:rPr>
                      <w:rFonts w:hint="eastAsia"/>
                      <w:color w:val="auto"/>
                      <w:vertAlign w:val="baseline"/>
                      <w:lang w:val="en-US" w:eastAsia="zh-CN"/>
                    </w:rPr>
                    <w:t>人员确认</w:t>
                  </w:r>
                </w:p>
              </w:tc>
              <w:tc>
                <w:tcPr>
                  <w:tcW w:w="7988" w:type="dxa"/>
                  <w:vAlign w:val="center"/>
                </w:tcPr>
                <w:p>
                  <w:pPr>
                    <w:jc w:val="center"/>
                    <w:rPr>
                      <w:rFonts w:hint="default"/>
                      <w:color w:val="auto"/>
                      <w:vertAlign w:val="baseline"/>
                      <w:lang w:val="en-US" w:eastAsia="zh-CN"/>
                    </w:rPr>
                  </w:pPr>
                  <w:r>
                    <w:rPr>
                      <w:rFonts w:hint="eastAsia" w:ascii="仿宋" w:hAnsi="仿宋" w:eastAsia="仿宋" w:cs="仿宋"/>
                      <w:color w:val="auto"/>
                      <w:sz w:val="24"/>
                      <w:lang w:val="en-US" w:eastAsia="zh-CN"/>
                    </w:rPr>
                    <w:t>王中旭、孙如友、耿国有具有专业技术人员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olor w:val="auto"/>
                      <w:vertAlign w:val="baseline"/>
                      <w:lang w:val="en-US" w:eastAsia="zh-CN"/>
                    </w:rPr>
                  </w:pPr>
                  <w:r>
                    <w:rPr>
                      <w:rFonts w:hint="eastAsia" w:cs="Times New Roman"/>
                      <w:b w:val="0"/>
                      <w:bCs w:val="0"/>
                      <w:color w:val="auto"/>
                      <w:kern w:val="2"/>
                      <w:sz w:val="21"/>
                      <w:vertAlign w:val="baseline"/>
                      <w:lang w:val="en-US" w:eastAsia="zh-CN" w:bidi="ar-SA"/>
                    </w:rPr>
                    <w:t>设备确认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焊接机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olor w:val="auto"/>
                      <w:vertAlign w:val="baseline"/>
                      <w:lang w:val="en-US" w:eastAsia="zh-CN"/>
                    </w:rPr>
                  </w:pPr>
                  <w:r>
                    <w:rPr>
                      <w:rFonts w:hint="eastAsia" w:cs="Times New Roman"/>
                      <w:color w:val="auto"/>
                      <w:kern w:val="2"/>
                      <w:sz w:val="21"/>
                      <w:vertAlign w:val="baseline"/>
                      <w:lang w:val="en-US" w:eastAsia="zh-CN" w:bidi="ar-SA"/>
                    </w:rPr>
                    <w:t>原材料确认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经检验或供应商检测报告均符合产品验收标准，或有供方提供的产品检测报告，其产品质量均符合国家标准或省份和企业标准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工艺确认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作业指导书，技术协议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环境确认</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提供适宜办公环境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s="Times New Roman"/>
                      <w:color w:val="auto"/>
                      <w:kern w:val="2"/>
                      <w:sz w:val="21"/>
                      <w:vertAlign w:val="baseline"/>
                      <w:lang w:val="en-US" w:eastAsia="zh-CN" w:bidi="ar-SA"/>
                    </w:rPr>
                    <w:t>破坏性试验</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vAlign w:val="center"/>
                </w:tcPr>
                <w:p>
                  <w:pPr>
                    <w:jc w:val="center"/>
                    <w:rPr>
                      <w:rFonts w:hint="eastAsia" w:cs="Times New Roman"/>
                      <w:color w:val="auto"/>
                      <w:kern w:val="2"/>
                      <w:sz w:val="21"/>
                      <w:vertAlign w:val="baseline"/>
                      <w:lang w:val="en-US" w:eastAsia="zh-CN" w:bidi="ar-SA"/>
                    </w:rPr>
                  </w:pPr>
                  <w:r>
                    <w:rPr>
                      <w:rFonts w:hint="eastAsia"/>
                      <w:color w:val="auto"/>
                      <w:vertAlign w:val="baseline"/>
                      <w:lang w:val="en-US" w:eastAsia="zh-CN"/>
                    </w:rPr>
                    <w:t>确认结论</w:t>
                  </w:r>
                </w:p>
              </w:tc>
              <w:tc>
                <w:tcPr>
                  <w:tcW w:w="7988" w:type="dxa"/>
                  <w:vAlign w:val="center"/>
                </w:tcPr>
                <w:p>
                  <w:pPr>
                    <w:jc w:val="center"/>
                    <w:rPr>
                      <w:rFonts w:hint="default"/>
                      <w:color w:val="auto"/>
                      <w:vertAlign w:val="baseline"/>
                      <w:lang w:val="en-US" w:eastAsia="zh-CN"/>
                    </w:rPr>
                  </w:pPr>
                  <w:r>
                    <w:rPr>
                      <w:rFonts w:hint="eastAsia"/>
                      <w:color w:val="auto"/>
                      <w:vertAlign w:val="baseline"/>
                      <w:lang w:val="en-US" w:eastAsia="zh-CN"/>
                    </w:rPr>
                    <w:t>符合要求</w:t>
                  </w:r>
                </w:p>
              </w:tc>
            </w:tr>
          </w:tbl>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 xml:space="preserve">    </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参照的技术规范如下：</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GB/T 3785.2-2010 电声学 声级计  第2部分：型式实验评价</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5226.1-2008 机械电气安全  机械电气设备第1部分：通用技术条件</w:t>
            </w:r>
          </w:p>
          <w:p>
            <w:pPr>
              <w:spacing w:line="360" w:lineRule="auto"/>
              <w:ind w:firstLine="480" w:firstLineChars="200"/>
              <w:rPr>
                <w:rFonts w:hint="eastAsia"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GB   16798  食品机械安全卫生</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QB/T 1588.1-1992  轻工机械  焊接件通用技术条件</w:t>
            </w:r>
          </w:p>
          <w:p>
            <w:pPr>
              <w:spacing w:line="360" w:lineRule="auto"/>
              <w:ind w:firstLine="480" w:firstLineChars="200"/>
              <w:rPr>
                <w:rFonts w:hint="default" w:ascii="楷体" w:hAnsi="楷体" w:eastAsia="楷体" w:cs="宋体"/>
                <w:color w:val="000000"/>
                <w:sz w:val="24"/>
                <w:szCs w:val="24"/>
                <w:lang w:val="en-US" w:eastAsia="zh-CN"/>
              </w:rPr>
            </w:pPr>
            <w:r>
              <w:rPr>
                <w:rFonts w:hint="eastAsia" w:ascii="楷体" w:hAnsi="楷体" w:eastAsia="楷体" w:cs="宋体"/>
                <w:color w:val="000000"/>
                <w:sz w:val="24"/>
                <w:szCs w:val="24"/>
                <w:lang w:val="en-US" w:eastAsia="zh-CN"/>
              </w:rPr>
              <w:t>JB 7233 包装机械安全要求</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等标准及顾客要求等，并作为产品的质量目标和要求。</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制定的产品生产工艺图和销售流程图清晰地描述了产品生产和销售服务的过程。</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组织确定了《工艺流程卡》、《图纸》、《作业指导书》、《安全操作规程》、《工艺守则》、《产品检验规范》、《销售服务作业指导书》等文件，描述了产品实现的方法和接收准则。</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体系覆盖的产品为：智能物流设备</w:t>
            </w:r>
            <w:r>
              <w:rPr>
                <w:rFonts w:hint="eastAsia" w:ascii="楷体" w:hAnsi="楷体" w:eastAsia="楷体"/>
                <w:sz w:val="24"/>
                <w:szCs w:val="24"/>
                <w:lang w:eastAsia="zh-CN"/>
              </w:rPr>
              <w:t>、</w:t>
            </w:r>
            <w:r>
              <w:rPr>
                <w:rFonts w:hint="eastAsia" w:ascii="楷体" w:hAnsi="楷体" w:eastAsia="楷体"/>
                <w:sz w:val="24"/>
                <w:szCs w:val="24"/>
              </w:rPr>
              <w:t>智能包装设备。</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公司为产品实现提供了充足的资源，如：设备、人员、工厂车间、物料等。</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为提供证据公司确定了有关产品实现的记录，如《原材料验收记录》、《过程检验记录》、《成品检验单》、《产品质量合格证明书》、《销售服务过程检查记录表》等。</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与部门负责人沟通，在产品实现过程中，当生产工艺、条件、环境或人员等因素发生非预期变更，对产品质量有影响或不满足顾客要求时，生产技术部根据实际情况组织技术人员、</w:t>
            </w:r>
            <w:r>
              <w:rPr>
                <w:rFonts w:hint="eastAsia" w:ascii="楷体" w:hAnsi="楷体" w:eastAsia="楷体"/>
                <w:sz w:val="24"/>
                <w:szCs w:val="24"/>
                <w:lang w:eastAsia="zh-CN"/>
              </w:rPr>
              <w:t>销售部</w:t>
            </w:r>
            <w:r>
              <w:rPr>
                <w:rFonts w:hint="eastAsia" w:ascii="楷体" w:hAnsi="楷体" w:eastAsia="楷体"/>
                <w:sz w:val="24"/>
                <w:szCs w:val="24"/>
              </w:rPr>
              <w:t>、</w:t>
            </w:r>
            <w:r>
              <w:rPr>
                <w:rFonts w:hint="eastAsia" w:ascii="楷体" w:hAnsi="楷体" w:eastAsia="楷体"/>
                <w:sz w:val="24"/>
                <w:szCs w:val="24"/>
                <w:lang w:eastAsia="zh-CN"/>
              </w:rPr>
              <w:t>质检部</w:t>
            </w:r>
            <w:r>
              <w:rPr>
                <w:rFonts w:hint="eastAsia" w:ascii="楷体" w:hAnsi="楷体" w:eastAsia="楷体"/>
                <w:sz w:val="24"/>
                <w:szCs w:val="24"/>
              </w:rPr>
              <w:t>负责人员商议生产更改事项，减轻不利影响，并将结果及时通报相关部门。目前暂无更改情况。</w:t>
            </w:r>
          </w:p>
          <w:p>
            <w:pPr>
              <w:snapToGrid w:val="0"/>
              <w:spacing w:line="400" w:lineRule="exact"/>
              <w:ind w:right="392" w:firstLine="480" w:firstLineChars="200"/>
              <w:rPr>
                <w:rFonts w:hint="eastAsia" w:ascii="楷体" w:hAnsi="楷体" w:eastAsia="楷体"/>
                <w:sz w:val="24"/>
                <w:szCs w:val="24"/>
              </w:rPr>
            </w:pPr>
            <w:r>
              <w:rPr>
                <w:rFonts w:hint="eastAsia" w:ascii="楷体" w:hAnsi="楷体" w:eastAsia="楷体"/>
                <w:sz w:val="24"/>
                <w:szCs w:val="24"/>
              </w:rPr>
              <w:t>组织对</w:t>
            </w:r>
            <w:r>
              <w:rPr>
                <w:rFonts w:hint="eastAsia" w:ascii="楷体" w:hAnsi="楷体" w:eastAsia="楷体"/>
                <w:sz w:val="24"/>
                <w:szCs w:val="24"/>
                <w:lang w:val="en-US" w:eastAsia="zh-CN"/>
              </w:rPr>
              <w:t>产品组装</w:t>
            </w:r>
            <w:r>
              <w:rPr>
                <w:rFonts w:hint="eastAsia" w:ascii="楷体" w:hAnsi="楷体" w:eastAsia="楷体"/>
                <w:sz w:val="24"/>
                <w:szCs w:val="24"/>
              </w:rPr>
              <w:t>过程外包过程的控制详见8.4审核记录。</w:t>
            </w:r>
          </w:p>
          <w:p>
            <w:pPr>
              <w:snapToGrid w:val="0"/>
              <w:spacing w:line="400" w:lineRule="exact"/>
              <w:ind w:right="392" w:firstLine="480" w:firstLineChars="200"/>
              <w:rPr>
                <w:rFonts w:ascii="楷体" w:hAnsi="楷体" w:eastAsia="楷体"/>
                <w:sz w:val="24"/>
                <w:szCs w:val="24"/>
              </w:rPr>
            </w:pPr>
            <w:r>
              <w:rPr>
                <w:rFonts w:hint="eastAsia" w:ascii="楷体" w:hAnsi="楷体" w:eastAsia="楷体"/>
                <w:sz w:val="24"/>
                <w:szCs w:val="24"/>
              </w:rPr>
              <w:t>组织对产品实现的策划管理符合标准的要求。</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生产和服务提供的控制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Q8.5.1</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组织在手册中规定了生产服务的具体控制要求，符合标准要求。</w:t>
            </w:r>
          </w:p>
          <w:p>
            <w:pPr>
              <w:pStyle w:val="2"/>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公司目前从事的是“</w:t>
            </w:r>
            <w:r>
              <w:rPr>
                <w:rFonts w:hint="eastAsia" w:ascii="楷体" w:hAnsi="楷体" w:eastAsia="楷体"/>
                <w:sz w:val="24"/>
                <w:szCs w:val="24"/>
              </w:rPr>
              <w:t>智能物流设备</w:t>
            </w:r>
            <w:r>
              <w:rPr>
                <w:rFonts w:hint="eastAsia" w:ascii="楷体" w:hAnsi="楷体" w:eastAsia="楷体"/>
                <w:sz w:val="24"/>
                <w:szCs w:val="24"/>
                <w:lang w:eastAsia="zh-CN"/>
              </w:rPr>
              <w:t>、</w:t>
            </w:r>
            <w:r>
              <w:rPr>
                <w:rFonts w:hint="eastAsia" w:ascii="楷体" w:hAnsi="楷体" w:eastAsia="楷体"/>
                <w:sz w:val="24"/>
                <w:szCs w:val="24"/>
              </w:rPr>
              <w:t>智能包装设备的生产和服务</w:t>
            </w:r>
            <w:r>
              <w:rPr>
                <w:rFonts w:hint="eastAsia" w:ascii="楷体" w:hAnsi="楷体" w:eastAsia="楷体" w:cs="宋体"/>
                <w:color w:val="000000"/>
                <w:kern w:val="2"/>
                <w:sz w:val="24"/>
                <w:szCs w:val="24"/>
                <w:lang w:val="en-US" w:eastAsia="zh-CN" w:bidi="ar-SA"/>
              </w:rPr>
              <w:t>”，通常依据客户的订货计划来确定需要生产“</w:t>
            </w:r>
            <w:r>
              <w:rPr>
                <w:rFonts w:hint="eastAsia" w:ascii="楷体" w:hAnsi="楷体" w:eastAsia="楷体"/>
                <w:sz w:val="24"/>
                <w:szCs w:val="24"/>
              </w:rPr>
              <w:t>组织对智能物流设备</w:t>
            </w:r>
            <w:r>
              <w:rPr>
                <w:rFonts w:hint="eastAsia" w:ascii="楷体" w:hAnsi="楷体" w:eastAsia="楷体"/>
                <w:sz w:val="24"/>
                <w:szCs w:val="24"/>
                <w:lang w:eastAsia="zh-CN"/>
              </w:rPr>
              <w:t>、</w:t>
            </w:r>
            <w:r>
              <w:rPr>
                <w:rFonts w:hint="eastAsia" w:ascii="楷体" w:hAnsi="楷体" w:eastAsia="楷体"/>
                <w:sz w:val="24"/>
                <w:szCs w:val="24"/>
              </w:rPr>
              <w:t>智能包装设备</w:t>
            </w:r>
            <w:r>
              <w:rPr>
                <w:rFonts w:hint="eastAsia" w:ascii="楷体" w:hAnsi="楷体" w:eastAsia="楷体" w:cs="宋体"/>
                <w:color w:val="000000"/>
                <w:kern w:val="2"/>
                <w:sz w:val="24"/>
                <w:szCs w:val="24"/>
                <w:lang w:val="en-US" w:eastAsia="zh-CN" w:bidi="ar-SA"/>
              </w:rPr>
              <w:t>” 的数量、规格、型号、交货期，从而控制生产和销售的有序进行。</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工艺流程：</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钢材 → 切割 → 剪折→冲压→焊接 →组装→调试→入库</w:t>
            </w:r>
          </w:p>
          <w:p>
            <w:pPr>
              <w:pStyle w:val="2"/>
              <w:rPr>
                <w:rFonts w:hint="eastAsia" w:ascii="楷体" w:hAnsi="楷体" w:eastAsia="楷体"/>
                <w:sz w:val="24"/>
                <w:szCs w:val="24"/>
                <w:lang w:val="en-US" w:eastAsia="zh-CN"/>
              </w:rPr>
            </w:pPr>
            <w:r>
              <w:rPr>
                <w:rFonts w:hint="eastAsia" w:ascii="楷体" w:hAnsi="楷体" w:eastAsia="楷体"/>
                <w:sz w:val="24"/>
                <w:szCs w:val="24"/>
                <w:lang w:val="en-US" w:eastAsia="zh-CN"/>
              </w:rPr>
              <w:t>其中： 焊接为特殊过程。</w:t>
            </w:r>
          </w:p>
          <w:p>
            <w:pPr>
              <w:pStyle w:val="2"/>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关键过程：组装、调试</w:t>
            </w:r>
          </w:p>
          <w:p>
            <w:pPr>
              <w:pStyle w:val="2"/>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特殊过程：焊接成型</w:t>
            </w:r>
          </w:p>
          <w:p>
            <w:pPr>
              <w:pStyle w:val="2"/>
              <w:rPr>
                <w:rFonts w:hint="default" w:ascii="楷体" w:hAnsi="楷体" w:eastAsia="楷体" w:cs="宋体"/>
                <w:color w:val="000000"/>
                <w:kern w:val="2"/>
                <w:sz w:val="24"/>
                <w:szCs w:val="24"/>
                <w:lang w:val="en-US" w:eastAsia="zh-CN" w:bidi="ar-SA"/>
              </w:rPr>
            </w:pPr>
            <w:r>
              <w:rPr>
                <w:rFonts w:hint="default" w:ascii="楷体" w:hAnsi="楷体" w:eastAsia="楷体" w:cs="宋体"/>
                <w:color w:val="000000"/>
                <w:kern w:val="2"/>
                <w:sz w:val="24"/>
                <w:szCs w:val="24"/>
                <w:lang w:val="en-US" w:eastAsia="zh-CN" w:bidi="ar-SA"/>
              </w:rPr>
              <w:t>操作过程制定《作业指导书》、《操作规程》，提供《生产过程控制记录》对特殊工序进行过程监控，生产结束后对成品进行成品检测，检测合格方能入库销售。</w:t>
            </w:r>
            <w:r>
              <w:rPr>
                <w:rFonts w:hint="eastAsia" w:ascii="楷体" w:hAnsi="楷体" w:eastAsia="楷体" w:cs="宋体"/>
                <w:color w:val="000000"/>
                <w:kern w:val="2"/>
                <w:sz w:val="24"/>
                <w:szCs w:val="24"/>
                <w:lang w:val="en-US" w:eastAsia="zh-CN" w:bidi="ar-SA"/>
              </w:rPr>
              <w:t>生产过程监控放行详见Q8.6</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a) 组织通过图纸、产品型号、产品标准描述产品特性，生产车间通过下达的《生产计划任务单》获得表述产品特性的信息。</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b) 组织编制了产品的《工艺流程卡》、《检验规范》、《车间作业指导书》等文件，文件中描述了各工序的工艺内容和控制指标，作为操作人员的作业指南。</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c) 组织为生产配备了适宜的生产设备，现场查看观察所有生产设备工作正常。</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d) 组织为各工序配备了</w:t>
            </w:r>
            <w:r>
              <w:rPr>
                <w:rFonts w:hint="eastAsia" w:ascii="楷体" w:hAnsi="楷体" w:eastAsia="楷体" w:cs="宋体"/>
                <w:color w:val="000000"/>
                <w:sz w:val="24"/>
                <w:szCs w:val="24"/>
                <w:lang w:val="en-US" w:eastAsia="zh-CN"/>
              </w:rPr>
              <w:t>内径千分尺、外径千分尺、内测千分尺、游标卡尺</w:t>
            </w:r>
            <w:r>
              <w:rPr>
                <w:rFonts w:hint="eastAsia" w:ascii="楷体" w:hAnsi="楷体" w:eastAsia="楷体" w:cs="宋体"/>
                <w:color w:val="000000"/>
                <w:kern w:val="2"/>
                <w:sz w:val="24"/>
                <w:szCs w:val="24"/>
                <w:lang w:val="en-US" w:eastAsia="zh-CN" w:bidi="ar-SA"/>
              </w:rPr>
              <w:t>等监视和测量设备。</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 组织对生产过程和产品实施了监视和测量，并作了相应记录。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检验活动包括原材料检验、工序检验、成品检验。生产过程中使用的记录有：原材料验收记录、过程检验记录、成品检验单等，符合要求。过程产品和最终产品的监视和测量记录见 Q8.6 审核记录。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f) 质检部负责对产品的放行，销售部负责产品交付和交付后活动的实施，产品经过测试检验合格后方可放行和交付，销售部依据合同出具发货单，由客户联系物流公司进行送货，经顾客接受签字带回公司做账。需要售后服务时由销售部负责联系售后服务工作。</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g）为生产过程配备了必要的人员，特殊专业人员有电焊工、电工证、叉车员证等，均有相应资质证书，详见行政部7.2审核记录。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h）生产部负责关键、特殊过程的确认和控制，经公司识别，本公司的特殊过程为：焊接过程，编制有《特殊过程确认表》，查到“人员、设备、原材料、文件、环境、质量的评定”2021.4.30日胡玉涛涛等对制造工艺、设备、工艺参数、人员进行了确认，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生产现场查看观察，</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切割 → 剪折→冲压工序：操作员马本辉按照设备操作规程使用等离子切割机，依照图纸将对原材料进行初期切割加工，现场查看查看操作符合工艺要求。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焊接工序：伟永建按照《焊接操作规程》，依据设备图纸对切割好的原材料进行初期焊接，操作员工佩戴护目镜、耳塞、劳保鞋、口罩等劳保用品。半成品原配件焊接完成后，注明配件名称、填写依据的图号，归类摆放，以便后期进行喷塑处理。</w:t>
            </w:r>
          </w:p>
          <w:p>
            <w:pPr>
              <w:pStyle w:val="2"/>
              <w:rPr>
                <w:rFonts w:hint="default"/>
                <w:lang w:val="en-US" w:eastAsia="zh-CN"/>
              </w:rPr>
            </w:pPr>
            <w:r>
              <w:rPr>
                <w:rFonts w:hint="eastAsia" w:ascii="楷体" w:hAnsi="楷体" w:eastAsia="楷体" w:cs="宋体"/>
                <w:color w:val="000000"/>
                <w:kern w:val="2"/>
                <w:sz w:val="24"/>
                <w:szCs w:val="24"/>
                <w:lang w:val="en-US" w:eastAsia="zh-CN" w:bidi="ar-SA"/>
              </w:rPr>
              <w:t>喷塑交由第三方进行加工，详见Q8.4记录</w:t>
            </w:r>
          </w:p>
          <w:p>
            <w:pPr>
              <w:spacing w:before="120" w:line="320" w:lineRule="exact"/>
              <w:rPr>
                <w:rFonts w:hint="eastAsia"/>
                <w:lang w:val="en-US" w:eastAsia="zh-CN"/>
              </w:rPr>
            </w:pPr>
            <w:r>
              <w:rPr>
                <w:rFonts w:hint="eastAsia" w:ascii="楷体" w:hAnsi="楷体" w:eastAsia="楷体" w:cs="宋体"/>
                <w:color w:val="000000"/>
                <w:kern w:val="2"/>
                <w:sz w:val="24"/>
                <w:szCs w:val="24"/>
                <w:lang w:val="en-US" w:eastAsia="zh-CN" w:bidi="ar-SA"/>
              </w:rPr>
              <w:t>组装→调试工序：郭增亮进行组装、高严春进行调试，针对不同产品的要求，由技术研发部形成的技术图纸及功能要求，进行组装测试，有相应得测试记录。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auto"/>
                <w:kern w:val="2"/>
                <w:sz w:val="24"/>
                <w:szCs w:val="24"/>
                <w:lang w:val="en-US" w:eastAsia="zh-CN" w:bidi="ar-SA"/>
              </w:rPr>
              <w:t>部门生产过程控制基本有效。</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标识和可追溯性</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Q8.5.2</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车间及仓库现场查看：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原材料、过程产品、成品采用标签进行标识。抽查半成品和成品存放在车间内划定的区域内，符合要求。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各生产区域中设置：合格区，不合格区、待检区等等，标识明确清晰。</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追溯时机和方法等在文件中有规定，生产技术部负责组织实施，和部门负责人交谈：顾客在使用中一旦出现问题反馈到公司后，公司依据生产日期，通过生产日期可查至生产工序和操作者及供方等。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体系运行以来追溯活动：未发生。</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查各类标识，做到清楚、合理，符合要求。</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未发现标识不当而造成混淆的情况。</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变更控制</w:t>
            </w:r>
          </w:p>
        </w:tc>
        <w:tc>
          <w:tcPr>
            <w:tcW w:w="1311"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Q8.5.6</w:t>
            </w:r>
          </w:p>
          <w:p>
            <w:pPr>
              <w:spacing w:before="120" w:line="320" w:lineRule="exact"/>
              <w:rPr>
                <w:rFonts w:hint="eastAsia" w:ascii="楷体" w:hAnsi="楷体" w:eastAsia="楷体" w:cs="宋体"/>
                <w:color w:val="000000"/>
                <w:kern w:val="2"/>
                <w:sz w:val="24"/>
                <w:szCs w:val="24"/>
                <w:lang w:val="en-US" w:eastAsia="zh-CN" w:bidi="ar-SA"/>
              </w:rPr>
            </w:pPr>
          </w:p>
        </w:tc>
        <w:tc>
          <w:tcPr>
            <w:tcW w:w="10004" w:type="dxa"/>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对于生产过程的规格、数量、交付期更改，公司规定通过《生产通知单》的形式重新下达。生产过程的更改指令，若涉及到交付时间更改，均有对应的合同更改评审记录，本部门再次通过《生产通知单》下达。更改的生产指令由本部门负责人签发。</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目前无生产过程工艺的更改。</w:t>
            </w:r>
          </w:p>
        </w:tc>
        <w:tc>
          <w:tcPr>
            <w:tcW w:w="1585" w:type="dxa"/>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运行控制</w:t>
            </w:r>
          </w:p>
        </w:tc>
        <w:tc>
          <w:tcPr>
            <w:tcW w:w="1311"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EO8.1</w:t>
            </w:r>
          </w:p>
          <w:p>
            <w:pPr>
              <w:spacing w:before="120" w:line="320" w:lineRule="exact"/>
              <w:rPr>
                <w:rFonts w:ascii="楷体" w:hAnsi="楷体" w:eastAsia="楷体" w:cs="宋体"/>
                <w:sz w:val="24"/>
                <w:szCs w:val="24"/>
              </w:rPr>
            </w:pPr>
          </w:p>
        </w:tc>
        <w:tc>
          <w:tcPr>
            <w:tcW w:w="10004" w:type="dxa"/>
            <w:vAlign w:val="top"/>
          </w:tcPr>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编制与环境、安全体系运行控制有关的文件有《环境、职业健康安全运行控制程序》、《应急准备和响应程序》、《应急预案》等。</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1、废水管控：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生产过程无废水产生，生活废水经化粪池处理后纳管至湖州中环水务有限责任公司处理。</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2、废气管控：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主要是焊接烟尘和粉尘废气，焊接过程产生的烟尘，有焊接烟尘集尘器；机加工过程中产生的粉尘颗粒，主要为钢屑，较重，基本降落在加工设备附近，无外逸，加工完成后及时清扫回收。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3、噪声管控：</w:t>
            </w:r>
          </w:p>
          <w:p>
            <w:pPr>
              <w:spacing w:before="120" w:line="320" w:lineRule="exact"/>
              <w:rPr>
                <w:rFonts w:hint="default"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本项目噪声主要为剪板机、折弯机、焊接机等的机械噪声，具体降噪措施如下:  ①、在满足生产需要的前提下，选用低噪声的机械和设备;②、加强噪声设备的维护管理，避免因不正常运行所导致的噪声增大;  ③、实行昼间一班制生产，要求正常生产时车间门窗关闭。对生产人员要求佩戴劳保设备，减少伤害。</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4、固废管控：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生产过程中主要为生活垃圾加工过程产生废边角余料。生产部将以上废弃物放置固定位置，积攒一定量后出售有处理能力的单位回收再利用。目前未处理过。</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能源资源管控：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生产过程注意节水、节电、节原材料，人走关闭设备和照明开关，现场查看未发现有漏水和浪费电能的现象。</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6、产品生命周期的环境管控：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公司从工艺设计和采购产品时已考虑了产品的环保性，生产过程中，严格按照环保等管理制度实施，控制好辅助材料的用量，避免浪费，生命周期终了时橡胶还可以回收再利用。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7、潜在火灾管控：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公司生产车间和办公区域配备了灭火器，均符合要求。</w:t>
            </w:r>
          </w:p>
          <w:p>
            <w:pPr>
              <w:spacing w:before="120" w:line="320" w:lineRule="exact"/>
              <w:rPr>
                <w:rFonts w:hint="eastAsia" w:ascii="楷体" w:hAnsi="楷体" w:eastAsia="楷体" w:cs="宋体"/>
                <w:color w:val="000000"/>
                <w:kern w:val="2"/>
                <w:sz w:val="24"/>
                <w:szCs w:val="24"/>
                <w:lang w:val="en-US" w:eastAsia="zh-CN" w:bidi="ar-SA"/>
              </w:rPr>
            </w:pPr>
            <w:bookmarkStart w:id="0" w:name="_GoBack"/>
            <w:bookmarkEnd w:id="0"/>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现场查看观察运行控制：</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巡视办公及生产区域配备有灭火器多个，各车间均配有灭火器，有点检记录。</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查看各工序设备运转基本正常，人员操作方法合理，并佩带要相应的防护措施，如耳塞、口罩、防护眼镜等。操作人员穿戴有工作衣、工作鞋、手套、安全帽等安全防护用品。</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各车间安全设施设有提示说明，方便取用，未发现遮挡消防设施和挤占消防通道的情况。</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焊接工序，除尘设施运行良好。</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生产车间标有各种警示标识，如：小心触电、起重机严禁站人、进入厂房须戴安全帽等，车间采光良好、空气流通，车间噪音较小对员工危害不大。</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 xml:space="preserve">   打磨和切割工序，设备防护设施合理，有防护罩，现场操作人员配戴耳塞，搬运人员配戴线手套，车间人员均着工作服、安全鞋。</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配电室门口设有防鼠挡板，配有绝缘手套、绝缘鞋、高压验电笔、安全帽，内部配有灭火器。</w:t>
            </w:r>
          </w:p>
          <w:p>
            <w:pPr>
              <w:spacing w:before="120" w:line="320" w:lineRule="exact"/>
              <w:rPr>
                <w:rFonts w:hint="eastAsia" w:ascii="楷体" w:hAnsi="楷体" w:eastAsia="楷体" w:cs="宋体"/>
                <w:color w:val="000000"/>
                <w:kern w:val="2"/>
                <w:sz w:val="24"/>
                <w:szCs w:val="24"/>
                <w:lang w:val="en-US" w:eastAsia="zh-CN" w:bidi="ar-SA"/>
              </w:rPr>
            </w:pPr>
            <w:r>
              <w:rPr>
                <w:rFonts w:hint="eastAsia" w:ascii="楷体" w:hAnsi="楷体" w:eastAsia="楷体" w:cs="宋体"/>
                <w:color w:val="000000"/>
                <w:kern w:val="2"/>
                <w:sz w:val="24"/>
                <w:szCs w:val="24"/>
                <w:lang w:val="en-US" w:eastAsia="zh-CN" w:bidi="ar-SA"/>
              </w:rPr>
              <w:t>生产车间内现场电线布线合理，电线均处于完好状态，设备有接地及保护装置，控制柜及漏电保护器状态良好。</w:t>
            </w:r>
          </w:p>
          <w:p>
            <w:pPr>
              <w:spacing w:before="120" w:line="320" w:lineRule="exact"/>
              <w:rPr>
                <w:rFonts w:ascii="楷体" w:hAnsi="楷体" w:eastAsia="楷体" w:cs="宋体"/>
                <w:sz w:val="24"/>
                <w:szCs w:val="24"/>
              </w:rPr>
            </w:pPr>
            <w:r>
              <w:rPr>
                <w:rFonts w:hint="eastAsia" w:ascii="楷体" w:hAnsi="楷体" w:eastAsia="楷体" w:cs="宋体"/>
                <w:color w:val="000000"/>
                <w:kern w:val="2"/>
                <w:sz w:val="24"/>
                <w:szCs w:val="24"/>
                <w:lang w:val="en-US" w:eastAsia="zh-CN" w:bidi="ar-SA"/>
              </w:rPr>
              <w:t>车间在环保方面的控制管理基本有效，待疫情后进一步现场观察审核。</w:t>
            </w:r>
          </w:p>
        </w:tc>
        <w:tc>
          <w:tcPr>
            <w:tcW w:w="1585" w:type="dxa"/>
            <w:vAlign w:val="top"/>
          </w:tcPr>
          <w:p>
            <w:pPr>
              <w:spacing w:line="360" w:lineRule="auto"/>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9" w:type="dxa"/>
            <w:vAlign w:val="top"/>
          </w:tcPr>
          <w:p>
            <w:pPr>
              <w:spacing w:before="120" w:line="320" w:lineRule="exact"/>
              <w:rPr>
                <w:rFonts w:ascii="楷体" w:hAnsi="楷体" w:eastAsia="楷体" w:cs="宋体"/>
                <w:color w:val="FF0000"/>
                <w:sz w:val="24"/>
                <w:szCs w:val="24"/>
              </w:rPr>
            </w:pPr>
            <w:r>
              <w:rPr>
                <w:rFonts w:hint="eastAsia" w:ascii="楷体" w:hAnsi="楷体" w:eastAsia="楷体" w:cs="宋体"/>
                <w:color w:val="FF0000"/>
                <w:kern w:val="2"/>
                <w:sz w:val="24"/>
                <w:szCs w:val="24"/>
                <w:lang w:val="en-US" w:eastAsia="zh-CN" w:bidi="ar-SA"/>
              </w:rPr>
              <w:t>应急准备和相应</w:t>
            </w:r>
          </w:p>
        </w:tc>
        <w:tc>
          <w:tcPr>
            <w:tcW w:w="1311" w:type="dxa"/>
            <w:vAlign w:val="top"/>
          </w:tcPr>
          <w:p>
            <w:pPr>
              <w:spacing w:before="120" w:line="320" w:lineRule="exact"/>
              <w:rPr>
                <w:rFonts w:ascii="楷体" w:hAnsi="楷体" w:eastAsia="楷体" w:cs="宋体"/>
                <w:color w:val="FF0000"/>
                <w:sz w:val="24"/>
                <w:szCs w:val="24"/>
              </w:rPr>
            </w:pPr>
            <w:r>
              <w:rPr>
                <w:rFonts w:hint="eastAsia" w:ascii="楷体" w:hAnsi="楷体" w:eastAsia="楷体" w:cs="宋体"/>
                <w:color w:val="FF0000"/>
                <w:kern w:val="2"/>
                <w:sz w:val="24"/>
                <w:szCs w:val="24"/>
                <w:lang w:val="en-US" w:eastAsia="zh-CN" w:bidi="ar-SA"/>
              </w:rPr>
              <w:t>EO8.2</w:t>
            </w:r>
          </w:p>
        </w:tc>
        <w:tc>
          <w:tcPr>
            <w:tcW w:w="10004" w:type="dxa"/>
            <w:vAlign w:val="top"/>
          </w:tcPr>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生产技术部按照策划的《应急准备和响应控制程序程序》《火灾应急预案》等，明确了相应的运行准则。</w:t>
            </w:r>
          </w:p>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生产过程中加强用电安全，防止触电事故和火灾事故的发生，安装了漏电保护器。</w:t>
            </w:r>
          </w:p>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 xml:space="preserve">现场查看查看车间门口灭火器在有效期内。  </w:t>
            </w:r>
          </w:p>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生产场所有“禁止吸烟”，“小心触电” 等环保、安全警示标识。</w:t>
            </w:r>
          </w:p>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配有急救药箱，箱内有创可贴、消毒酒精、碘伏、棉棒等。</w:t>
            </w:r>
          </w:p>
          <w:p>
            <w:pPr>
              <w:spacing w:before="120" w:line="320" w:lineRule="exact"/>
              <w:rPr>
                <w:rFonts w:hint="eastAsia" w:ascii="楷体" w:hAnsi="楷体" w:eastAsia="楷体" w:cs="宋体"/>
                <w:color w:val="FF0000"/>
                <w:kern w:val="2"/>
                <w:sz w:val="24"/>
                <w:szCs w:val="24"/>
                <w:lang w:val="en-US" w:eastAsia="zh-CN" w:bidi="ar-SA"/>
              </w:rPr>
            </w:pPr>
            <w:r>
              <w:rPr>
                <w:rFonts w:hint="eastAsia" w:ascii="楷体" w:hAnsi="楷体" w:eastAsia="楷体" w:cs="宋体"/>
                <w:color w:val="FF0000"/>
                <w:kern w:val="2"/>
                <w:sz w:val="24"/>
                <w:szCs w:val="24"/>
                <w:lang w:val="en-US" w:eastAsia="zh-CN" w:bidi="ar-SA"/>
              </w:rPr>
              <w:t>查2021年8月18日参加了办公室组织的火灾预案演练，提供了相关记录。</w:t>
            </w:r>
          </w:p>
          <w:p>
            <w:pPr>
              <w:spacing w:before="120" w:line="320" w:lineRule="exact"/>
              <w:rPr>
                <w:rFonts w:ascii="楷体" w:hAnsi="楷体" w:eastAsia="楷体" w:cs="宋体"/>
                <w:color w:val="FF0000"/>
                <w:sz w:val="24"/>
                <w:szCs w:val="24"/>
              </w:rPr>
            </w:pPr>
            <w:r>
              <w:rPr>
                <w:rFonts w:hint="eastAsia" w:ascii="楷体" w:hAnsi="楷体" w:eastAsia="楷体" w:cs="宋体"/>
                <w:color w:val="FF0000"/>
                <w:kern w:val="2"/>
                <w:sz w:val="24"/>
                <w:szCs w:val="24"/>
                <w:lang w:val="en-US" w:eastAsia="zh-CN" w:bidi="ar-SA"/>
              </w:rPr>
              <w:t>自体系运行以来未出现应急事故情况。</w:t>
            </w:r>
          </w:p>
        </w:tc>
        <w:tc>
          <w:tcPr>
            <w:tcW w:w="1585" w:type="dxa"/>
            <w:vAlign w:val="top"/>
          </w:tcPr>
          <w:p>
            <w:pPr>
              <w:spacing w:line="360" w:lineRule="auto"/>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pStyle w:val="9"/>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14</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10"/>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ISC-B-II-31 管理体系审核记录表(03版)</w:t>
                </w:r>
              </w:p>
            </w:txbxContent>
          </v:textbox>
        </v:shape>
      </w:pict>
    </w:r>
    <w:r>
      <w:rPr>
        <w:rStyle w:val="18"/>
        <w:rFonts w:hint="default"/>
      </w:rPr>
      <w:t xml:space="preserve">        </w:t>
    </w:r>
    <w:r>
      <w:rPr>
        <w:rStyle w:val="18"/>
        <w:rFonts w:hint="default"/>
        <w:w w:val="90"/>
      </w:rPr>
      <w:t>Beijing International Standard united Certification Co.,Ltd.</w:t>
    </w:r>
    <w:r>
      <w:rPr>
        <w:rStyle w:val="18"/>
        <w:rFonts w:hint="default"/>
        <w:w w:val="90"/>
        <w:szCs w:val="21"/>
      </w:rPr>
      <w:t xml:space="preserve">  </w:t>
    </w:r>
    <w:r>
      <w:rPr>
        <w:rStyle w:val="18"/>
        <w:rFonts w:hint="default"/>
        <w:w w:val="90"/>
        <w:sz w:val="20"/>
      </w:rPr>
      <w:t xml:space="preserve"> </w:t>
    </w:r>
    <w:r>
      <w:rPr>
        <w:rStyle w:val="18"/>
        <w:rFonts w:hint="default"/>
        <w:w w:val="90"/>
      </w:rPr>
      <w:t xml:space="preserve">                   </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38DC"/>
    <w:rsid w:val="00004817"/>
    <w:rsid w:val="000146B2"/>
    <w:rsid w:val="00014A12"/>
    <w:rsid w:val="000214B6"/>
    <w:rsid w:val="00023330"/>
    <w:rsid w:val="0002531E"/>
    <w:rsid w:val="000277D0"/>
    <w:rsid w:val="0003138C"/>
    <w:rsid w:val="00032100"/>
    <w:rsid w:val="0003373A"/>
    <w:rsid w:val="00033BC0"/>
    <w:rsid w:val="00034576"/>
    <w:rsid w:val="00035FB9"/>
    <w:rsid w:val="000412F6"/>
    <w:rsid w:val="00045092"/>
    <w:rsid w:val="000510BA"/>
    <w:rsid w:val="0005199E"/>
    <w:rsid w:val="00052580"/>
    <w:rsid w:val="0005697E"/>
    <w:rsid w:val="000579CF"/>
    <w:rsid w:val="00060270"/>
    <w:rsid w:val="00061EE8"/>
    <w:rsid w:val="00061F6E"/>
    <w:rsid w:val="00082216"/>
    <w:rsid w:val="00082398"/>
    <w:rsid w:val="00083343"/>
    <w:rsid w:val="000849D2"/>
    <w:rsid w:val="00084DAD"/>
    <w:rsid w:val="000870FB"/>
    <w:rsid w:val="00092F91"/>
    <w:rsid w:val="00092FC8"/>
    <w:rsid w:val="00094791"/>
    <w:rsid w:val="000A067A"/>
    <w:rsid w:val="000A30F9"/>
    <w:rsid w:val="000A3C0F"/>
    <w:rsid w:val="000A5E44"/>
    <w:rsid w:val="000A6B86"/>
    <w:rsid w:val="000B1394"/>
    <w:rsid w:val="000B3731"/>
    <w:rsid w:val="000B40BD"/>
    <w:rsid w:val="000B6EAD"/>
    <w:rsid w:val="000C123B"/>
    <w:rsid w:val="000C25C3"/>
    <w:rsid w:val="000C2D5B"/>
    <w:rsid w:val="000C3052"/>
    <w:rsid w:val="000D4F09"/>
    <w:rsid w:val="000D5401"/>
    <w:rsid w:val="000D697A"/>
    <w:rsid w:val="000D6B2F"/>
    <w:rsid w:val="000D6F8E"/>
    <w:rsid w:val="000E2B69"/>
    <w:rsid w:val="000E355F"/>
    <w:rsid w:val="000E4402"/>
    <w:rsid w:val="000E7EF7"/>
    <w:rsid w:val="000F35F1"/>
    <w:rsid w:val="000F38E4"/>
    <w:rsid w:val="000F7D53"/>
    <w:rsid w:val="001022F1"/>
    <w:rsid w:val="001037D5"/>
    <w:rsid w:val="00106F20"/>
    <w:rsid w:val="001070F3"/>
    <w:rsid w:val="001076D1"/>
    <w:rsid w:val="00120749"/>
    <w:rsid w:val="00123A35"/>
    <w:rsid w:val="00124A78"/>
    <w:rsid w:val="00132572"/>
    <w:rsid w:val="00135F92"/>
    <w:rsid w:val="00136E61"/>
    <w:rsid w:val="00140192"/>
    <w:rsid w:val="00145688"/>
    <w:rsid w:val="001456CB"/>
    <w:rsid w:val="001462CD"/>
    <w:rsid w:val="00147922"/>
    <w:rsid w:val="00147EDB"/>
    <w:rsid w:val="0015649B"/>
    <w:rsid w:val="001564F9"/>
    <w:rsid w:val="0016112C"/>
    <w:rsid w:val="001662A1"/>
    <w:rsid w:val="001677C1"/>
    <w:rsid w:val="00170B6A"/>
    <w:rsid w:val="0017204F"/>
    <w:rsid w:val="00176572"/>
    <w:rsid w:val="00176B5D"/>
    <w:rsid w:val="00181F3C"/>
    <w:rsid w:val="001833DD"/>
    <w:rsid w:val="00183631"/>
    <w:rsid w:val="00187C5A"/>
    <w:rsid w:val="001904AA"/>
    <w:rsid w:val="001918ED"/>
    <w:rsid w:val="00192A7F"/>
    <w:rsid w:val="00192B8F"/>
    <w:rsid w:val="001940FC"/>
    <w:rsid w:val="00194D96"/>
    <w:rsid w:val="001972C0"/>
    <w:rsid w:val="001A2D7F"/>
    <w:rsid w:val="001A3DF8"/>
    <w:rsid w:val="001A572D"/>
    <w:rsid w:val="001A7826"/>
    <w:rsid w:val="001B324E"/>
    <w:rsid w:val="001B36F4"/>
    <w:rsid w:val="001B5E73"/>
    <w:rsid w:val="001B6887"/>
    <w:rsid w:val="001B6E5E"/>
    <w:rsid w:val="001B700E"/>
    <w:rsid w:val="001C0776"/>
    <w:rsid w:val="001C2BC9"/>
    <w:rsid w:val="001C34EA"/>
    <w:rsid w:val="001C39CB"/>
    <w:rsid w:val="001D1D7C"/>
    <w:rsid w:val="001D2736"/>
    <w:rsid w:val="001D4AD8"/>
    <w:rsid w:val="001D54FF"/>
    <w:rsid w:val="001D5787"/>
    <w:rsid w:val="001D585E"/>
    <w:rsid w:val="001D7FCA"/>
    <w:rsid w:val="001E1974"/>
    <w:rsid w:val="001E312D"/>
    <w:rsid w:val="001E72C1"/>
    <w:rsid w:val="001F71E8"/>
    <w:rsid w:val="00202BC2"/>
    <w:rsid w:val="00214113"/>
    <w:rsid w:val="00215081"/>
    <w:rsid w:val="00222532"/>
    <w:rsid w:val="00235ED5"/>
    <w:rsid w:val="00237445"/>
    <w:rsid w:val="00240501"/>
    <w:rsid w:val="00245047"/>
    <w:rsid w:val="00245CB6"/>
    <w:rsid w:val="00246063"/>
    <w:rsid w:val="00253CBF"/>
    <w:rsid w:val="00262DC0"/>
    <w:rsid w:val="002651A6"/>
    <w:rsid w:val="002715B5"/>
    <w:rsid w:val="00274A55"/>
    <w:rsid w:val="002760CB"/>
    <w:rsid w:val="0027659A"/>
    <w:rsid w:val="002769EB"/>
    <w:rsid w:val="0028195E"/>
    <w:rsid w:val="00282AB8"/>
    <w:rsid w:val="002945D8"/>
    <w:rsid w:val="0029464B"/>
    <w:rsid w:val="002973F0"/>
    <w:rsid w:val="002975C1"/>
    <w:rsid w:val="002A0E6E"/>
    <w:rsid w:val="002A33CC"/>
    <w:rsid w:val="002A4A4F"/>
    <w:rsid w:val="002A62D8"/>
    <w:rsid w:val="002B1808"/>
    <w:rsid w:val="002C1ACE"/>
    <w:rsid w:val="002C303F"/>
    <w:rsid w:val="002C3E0D"/>
    <w:rsid w:val="002C60B0"/>
    <w:rsid w:val="002D2DA4"/>
    <w:rsid w:val="002D41FB"/>
    <w:rsid w:val="002E0587"/>
    <w:rsid w:val="002E1E1D"/>
    <w:rsid w:val="002E38A4"/>
    <w:rsid w:val="002E72F8"/>
    <w:rsid w:val="002F030C"/>
    <w:rsid w:val="002F1DCE"/>
    <w:rsid w:val="002F4D1B"/>
    <w:rsid w:val="003006E2"/>
    <w:rsid w:val="003120F5"/>
    <w:rsid w:val="00317401"/>
    <w:rsid w:val="00317FAF"/>
    <w:rsid w:val="0032112D"/>
    <w:rsid w:val="00326FC1"/>
    <w:rsid w:val="00330DBC"/>
    <w:rsid w:val="00336040"/>
    <w:rsid w:val="00337922"/>
    <w:rsid w:val="00340867"/>
    <w:rsid w:val="00342857"/>
    <w:rsid w:val="00350CBB"/>
    <w:rsid w:val="00351CD4"/>
    <w:rsid w:val="003608CB"/>
    <w:rsid w:val="00360D60"/>
    <w:rsid w:val="003627B6"/>
    <w:rsid w:val="003675FE"/>
    <w:rsid w:val="003708D5"/>
    <w:rsid w:val="0037587D"/>
    <w:rsid w:val="0037782E"/>
    <w:rsid w:val="0038061A"/>
    <w:rsid w:val="0038063B"/>
    <w:rsid w:val="00380837"/>
    <w:rsid w:val="00382EDD"/>
    <w:rsid w:val="003836CA"/>
    <w:rsid w:val="00386A98"/>
    <w:rsid w:val="00392D5A"/>
    <w:rsid w:val="003947A2"/>
    <w:rsid w:val="003A1E9C"/>
    <w:rsid w:val="003A2B40"/>
    <w:rsid w:val="003A57BB"/>
    <w:rsid w:val="003A62C3"/>
    <w:rsid w:val="003A715C"/>
    <w:rsid w:val="003B0E41"/>
    <w:rsid w:val="003B63F4"/>
    <w:rsid w:val="003B686D"/>
    <w:rsid w:val="003B6EB8"/>
    <w:rsid w:val="003C2A32"/>
    <w:rsid w:val="003D1723"/>
    <w:rsid w:val="003D470D"/>
    <w:rsid w:val="003D6BE3"/>
    <w:rsid w:val="003E0E52"/>
    <w:rsid w:val="003E2C93"/>
    <w:rsid w:val="003F20A5"/>
    <w:rsid w:val="003F6D4B"/>
    <w:rsid w:val="00400994"/>
    <w:rsid w:val="00400B96"/>
    <w:rsid w:val="00401C89"/>
    <w:rsid w:val="00402125"/>
    <w:rsid w:val="00405AA6"/>
    <w:rsid w:val="00405D57"/>
    <w:rsid w:val="00405D5F"/>
    <w:rsid w:val="00410914"/>
    <w:rsid w:val="00413DEB"/>
    <w:rsid w:val="00415AA3"/>
    <w:rsid w:val="00420650"/>
    <w:rsid w:val="00420C60"/>
    <w:rsid w:val="00424601"/>
    <w:rsid w:val="004254A5"/>
    <w:rsid w:val="00425914"/>
    <w:rsid w:val="0043032D"/>
    <w:rsid w:val="00430432"/>
    <w:rsid w:val="00433759"/>
    <w:rsid w:val="0043494E"/>
    <w:rsid w:val="00435641"/>
    <w:rsid w:val="00437127"/>
    <w:rsid w:val="00440BBC"/>
    <w:rsid w:val="004414A5"/>
    <w:rsid w:val="00441B50"/>
    <w:rsid w:val="004428CE"/>
    <w:rsid w:val="00456064"/>
    <w:rsid w:val="004563CB"/>
    <w:rsid w:val="004565BC"/>
    <w:rsid w:val="00456697"/>
    <w:rsid w:val="00463AD4"/>
    <w:rsid w:val="00463F22"/>
    <w:rsid w:val="00465CFE"/>
    <w:rsid w:val="00465FE1"/>
    <w:rsid w:val="0046696A"/>
    <w:rsid w:val="00475491"/>
    <w:rsid w:val="004869FB"/>
    <w:rsid w:val="00491735"/>
    <w:rsid w:val="00493DC8"/>
    <w:rsid w:val="00494A46"/>
    <w:rsid w:val="004A1070"/>
    <w:rsid w:val="004A3578"/>
    <w:rsid w:val="004A4AF8"/>
    <w:rsid w:val="004A7106"/>
    <w:rsid w:val="004B217F"/>
    <w:rsid w:val="004B3E7F"/>
    <w:rsid w:val="004C07FE"/>
    <w:rsid w:val="004C3A73"/>
    <w:rsid w:val="004C5731"/>
    <w:rsid w:val="004C5BFE"/>
    <w:rsid w:val="004C78A9"/>
    <w:rsid w:val="004C7A45"/>
    <w:rsid w:val="004D3E4C"/>
    <w:rsid w:val="004D55E7"/>
    <w:rsid w:val="004D62EF"/>
    <w:rsid w:val="004D631F"/>
    <w:rsid w:val="004E1FC0"/>
    <w:rsid w:val="004E5609"/>
    <w:rsid w:val="004E61BC"/>
    <w:rsid w:val="004F185D"/>
    <w:rsid w:val="004F1F2A"/>
    <w:rsid w:val="004F3000"/>
    <w:rsid w:val="005052B3"/>
    <w:rsid w:val="005056ED"/>
    <w:rsid w:val="00505819"/>
    <w:rsid w:val="005064D2"/>
    <w:rsid w:val="00513B4A"/>
    <w:rsid w:val="00515C94"/>
    <w:rsid w:val="00517E4C"/>
    <w:rsid w:val="00521BB1"/>
    <w:rsid w:val="00521CF0"/>
    <w:rsid w:val="00521DAB"/>
    <w:rsid w:val="00527341"/>
    <w:rsid w:val="00531857"/>
    <w:rsid w:val="0053208B"/>
    <w:rsid w:val="005345E9"/>
    <w:rsid w:val="00534814"/>
    <w:rsid w:val="00536930"/>
    <w:rsid w:val="00541AE2"/>
    <w:rsid w:val="00544CA6"/>
    <w:rsid w:val="00546D5F"/>
    <w:rsid w:val="00552BDE"/>
    <w:rsid w:val="005566FC"/>
    <w:rsid w:val="005571F6"/>
    <w:rsid w:val="00560A2A"/>
    <w:rsid w:val="00564E53"/>
    <w:rsid w:val="00571FB2"/>
    <w:rsid w:val="00576C70"/>
    <w:rsid w:val="005818F3"/>
    <w:rsid w:val="00583277"/>
    <w:rsid w:val="00592922"/>
    <w:rsid w:val="00592C3E"/>
    <w:rsid w:val="00597617"/>
    <w:rsid w:val="005A000F"/>
    <w:rsid w:val="005B173D"/>
    <w:rsid w:val="005B6888"/>
    <w:rsid w:val="005C0F1E"/>
    <w:rsid w:val="005D1287"/>
    <w:rsid w:val="005D1D88"/>
    <w:rsid w:val="005D5B03"/>
    <w:rsid w:val="005D5F6F"/>
    <w:rsid w:val="005E29C1"/>
    <w:rsid w:val="005E4182"/>
    <w:rsid w:val="005F4B58"/>
    <w:rsid w:val="005F4B89"/>
    <w:rsid w:val="005F522D"/>
    <w:rsid w:val="005F6C65"/>
    <w:rsid w:val="005F6C93"/>
    <w:rsid w:val="00600F02"/>
    <w:rsid w:val="00601460"/>
    <w:rsid w:val="006014D4"/>
    <w:rsid w:val="0060444D"/>
    <w:rsid w:val="0061191A"/>
    <w:rsid w:val="00616BD6"/>
    <w:rsid w:val="00623037"/>
    <w:rsid w:val="00624222"/>
    <w:rsid w:val="00632DE1"/>
    <w:rsid w:val="00642776"/>
    <w:rsid w:val="00642D31"/>
    <w:rsid w:val="00643732"/>
    <w:rsid w:val="00644FE2"/>
    <w:rsid w:val="00645E5C"/>
    <w:rsid w:val="00645FB8"/>
    <w:rsid w:val="00651986"/>
    <w:rsid w:val="00652F53"/>
    <w:rsid w:val="00653DC7"/>
    <w:rsid w:val="006545E8"/>
    <w:rsid w:val="00660E81"/>
    <w:rsid w:val="00664736"/>
    <w:rsid w:val="00665980"/>
    <w:rsid w:val="006711B0"/>
    <w:rsid w:val="006744DC"/>
    <w:rsid w:val="0067640C"/>
    <w:rsid w:val="006836D9"/>
    <w:rsid w:val="00683BF6"/>
    <w:rsid w:val="0068548D"/>
    <w:rsid w:val="00691265"/>
    <w:rsid w:val="006946B4"/>
    <w:rsid w:val="00695256"/>
    <w:rsid w:val="00695570"/>
    <w:rsid w:val="006958B3"/>
    <w:rsid w:val="006969F1"/>
    <w:rsid w:val="00696AF1"/>
    <w:rsid w:val="006A3B31"/>
    <w:rsid w:val="006A68F3"/>
    <w:rsid w:val="006B0113"/>
    <w:rsid w:val="006B2AB0"/>
    <w:rsid w:val="006B2C63"/>
    <w:rsid w:val="006B39AA"/>
    <w:rsid w:val="006B4127"/>
    <w:rsid w:val="006B4E32"/>
    <w:rsid w:val="006B4F28"/>
    <w:rsid w:val="006C24BF"/>
    <w:rsid w:val="006C40B9"/>
    <w:rsid w:val="006C5B83"/>
    <w:rsid w:val="006D4DF7"/>
    <w:rsid w:val="006E4893"/>
    <w:rsid w:val="006E5BA5"/>
    <w:rsid w:val="006E6151"/>
    <w:rsid w:val="006E678B"/>
    <w:rsid w:val="006E762B"/>
    <w:rsid w:val="006F142F"/>
    <w:rsid w:val="0070367F"/>
    <w:rsid w:val="007042C6"/>
    <w:rsid w:val="00705251"/>
    <w:rsid w:val="00706392"/>
    <w:rsid w:val="00710655"/>
    <w:rsid w:val="00710688"/>
    <w:rsid w:val="00712F3C"/>
    <w:rsid w:val="00714FB1"/>
    <w:rsid w:val="007170AA"/>
    <w:rsid w:val="007175F5"/>
    <w:rsid w:val="00722B43"/>
    <w:rsid w:val="0072638A"/>
    <w:rsid w:val="00726642"/>
    <w:rsid w:val="00732B66"/>
    <w:rsid w:val="0073447C"/>
    <w:rsid w:val="007378E4"/>
    <w:rsid w:val="00737C8F"/>
    <w:rsid w:val="007406DE"/>
    <w:rsid w:val="00740E7F"/>
    <w:rsid w:val="00743D92"/>
    <w:rsid w:val="00743E79"/>
    <w:rsid w:val="00744BEA"/>
    <w:rsid w:val="00746E3A"/>
    <w:rsid w:val="00751532"/>
    <w:rsid w:val="00751C37"/>
    <w:rsid w:val="00754C46"/>
    <w:rsid w:val="0075769B"/>
    <w:rsid w:val="007618BC"/>
    <w:rsid w:val="00765D3B"/>
    <w:rsid w:val="00772340"/>
    <w:rsid w:val="007737BA"/>
    <w:rsid w:val="00773989"/>
    <w:rsid w:val="007757F3"/>
    <w:rsid w:val="007815DC"/>
    <w:rsid w:val="007839F5"/>
    <w:rsid w:val="00787C80"/>
    <w:rsid w:val="00790D5E"/>
    <w:rsid w:val="00790FC6"/>
    <w:rsid w:val="00795FA6"/>
    <w:rsid w:val="0079602E"/>
    <w:rsid w:val="007A47FB"/>
    <w:rsid w:val="007A6E97"/>
    <w:rsid w:val="007B0EA9"/>
    <w:rsid w:val="007B106B"/>
    <w:rsid w:val="007B275D"/>
    <w:rsid w:val="007B35C5"/>
    <w:rsid w:val="007B668F"/>
    <w:rsid w:val="007C21B9"/>
    <w:rsid w:val="007D3188"/>
    <w:rsid w:val="007D7A37"/>
    <w:rsid w:val="007E6AEB"/>
    <w:rsid w:val="007E6B6E"/>
    <w:rsid w:val="007E7C11"/>
    <w:rsid w:val="007F01EC"/>
    <w:rsid w:val="007F6A62"/>
    <w:rsid w:val="007F7DF2"/>
    <w:rsid w:val="008015B9"/>
    <w:rsid w:val="00803706"/>
    <w:rsid w:val="0080433F"/>
    <w:rsid w:val="008079FA"/>
    <w:rsid w:val="00810D58"/>
    <w:rsid w:val="00814047"/>
    <w:rsid w:val="00815AF5"/>
    <w:rsid w:val="008160E3"/>
    <w:rsid w:val="00821B77"/>
    <w:rsid w:val="008343CB"/>
    <w:rsid w:val="00834F70"/>
    <w:rsid w:val="00835B31"/>
    <w:rsid w:val="00850591"/>
    <w:rsid w:val="008549CE"/>
    <w:rsid w:val="008575F9"/>
    <w:rsid w:val="00860122"/>
    <w:rsid w:val="00860162"/>
    <w:rsid w:val="008638DE"/>
    <w:rsid w:val="00863B20"/>
    <w:rsid w:val="008646DE"/>
    <w:rsid w:val="00864902"/>
    <w:rsid w:val="00864BE7"/>
    <w:rsid w:val="00865200"/>
    <w:rsid w:val="00871695"/>
    <w:rsid w:val="00881290"/>
    <w:rsid w:val="00884594"/>
    <w:rsid w:val="00885631"/>
    <w:rsid w:val="00886006"/>
    <w:rsid w:val="00890397"/>
    <w:rsid w:val="00891C25"/>
    <w:rsid w:val="00894200"/>
    <w:rsid w:val="008973EE"/>
    <w:rsid w:val="008A5C1F"/>
    <w:rsid w:val="008A7C7E"/>
    <w:rsid w:val="008A7FB6"/>
    <w:rsid w:val="008B21BA"/>
    <w:rsid w:val="008B4EE2"/>
    <w:rsid w:val="008B68E5"/>
    <w:rsid w:val="008B7644"/>
    <w:rsid w:val="008C199E"/>
    <w:rsid w:val="008C1CA5"/>
    <w:rsid w:val="008C519F"/>
    <w:rsid w:val="008C5B6D"/>
    <w:rsid w:val="008D089D"/>
    <w:rsid w:val="008D2CA3"/>
    <w:rsid w:val="008E0E14"/>
    <w:rsid w:val="008E6B41"/>
    <w:rsid w:val="008E792C"/>
    <w:rsid w:val="008F0B04"/>
    <w:rsid w:val="008F4922"/>
    <w:rsid w:val="008F6788"/>
    <w:rsid w:val="008F7C55"/>
    <w:rsid w:val="00901BAF"/>
    <w:rsid w:val="0091272B"/>
    <w:rsid w:val="00914A79"/>
    <w:rsid w:val="00915512"/>
    <w:rsid w:val="00930694"/>
    <w:rsid w:val="00932193"/>
    <w:rsid w:val="00932BE6"/>
    <w:rsid w:val="0093521F"/>
    <w:rsid w:val="0093786C"/>
    <w:rsid w:val="00945677"/>
    <w:rsid w:val="00945EBD"/>
    <w:rsid w:val="0095571F"/>
    <w:rsid w:val="00955B84"/>
    <w:rsid w:val="0095689B"/>
    <w:rsid w:val="009619EF"/>
    <w:rsid w:val="0096227D"/>
    <w:rsid w:val="00962F78"/>
    <w:rsid w:val="00964CF5"/>
    <w:rsid w:val="00965A0E"/>
    <w:rsid w:val="0096609F"/>
    <w:rsid w:val="00970DA2"/>
    <w:rsid w:val="00971600"/>
    <w:rsid w:val="00972B2C"/>
    <w:rsid w:val="009769AA"/>
    <w:rsid w:val="00984342"/>
    <w:rsid w:val="00987B01"/>
    <w:rsid w:val="0099013A"/>
    <w:rsid w:val="009910C2"/>
    <w:rsid w:val="0099301F"/>
    <w:rsid w:val="00995C07"/>
    <w:rsid w:val="00996310"/>
    <w:rsid w:val="009969D2"/>
    <w:rsid w:val="009973B4"/>
    <w:rsid w:val="009A1279"/>
    <w:rsid w:val="009A4973"/>
    <w:rsid w:val="009A4B5C"/>
    <w:rsid w:val="009B3649"/>
    <w:rsid w:val="009B4D68"/>
    <w:rsid w:val="009B4FB3"/>
    <w:rsid w:val="009B6AB3"/>
    <w:rsid w:val="009B7EB8"/>
    <w:rsid w:val="009C131F"/>
    <w:rsid w:val="009C2CA5"/>
    <w:rsid w:val="009D1075"/>
    <w:rsid w:val="009D1A3F"/>
    <w:rsid w:val="009D2F66"/>
    <w:rsid w:val="009D57CF"/>
    <w:rsid w:val="009D7E70"/>
    <w:rsid w:val="009E035A"/>
    <w:rsid w:val="009E2238"/>
    <w:rsid w:val="009E30DA"/>
    <w:rsid w:val="009E3D68"/>
    <w:rsid w:val="009E461A"/>
    <w:rsid w:val="009E6193"/>
    <w:rsid w:val="009E7DD1"/>
    <w:rsid w:val="009F7BFC"/>
    <w:rsid w:val="009F7EED"/>
    <w:rsid w:val="00A0091F"/>
    <w:rsid w:val="00A0615F"/>
    <w:rsid w:val="00A06235"/>
    <w:rsid w:val="00A0721A"/>
    <w:rsid w:val="00A138EC"/>
    <w:rsid w:val="00A13A49"/>
    <w:rsid w:val="00A23822"/>
    <w:rsid w:val="00A277F2"/>
    <w:rsid w:val="00A3538B"/>
    <w:rsid w:val="00A378F6"/>
    <w:rsid w:val="00A41F32"/>
    <w:rsid w:val="00A4254F"/>
    <w:rsid w:val="00A4482F"/>
    <w:rsid w:val="00A50B4B"/>
    <w:rsid w:val="00A52368"/>
    <w:rsid w:val="00A54B81"/>
    <w:rsid w:val="00A61009"/>
    <w:rsid w:val="00A648EC"/>
    <w:rsid w:val="00A7519D"/>
    <w:rsid w:val="00A801DE"/>
    <w:rsid w:val="00A811EC"/>
    <w:rsid w:val="00A81FD7"/>
    <w:rsid w:val="00A824AF"/>
    <w:rsid w:val="00A8505F"/>
    <w:rsid w:val="00A90A22"/>
    <w:rsid w:val="00A969B9"/>
    <w:rsid w:val="00A97734"/>
    <w:rsid w:val="00AA1858"/>
    <w:rsid w:val="00AA7F40"/>
    <w:rsid w:val="00AB41FC"/>
    <w:rsid w:val="00AB7D2F"/>
    <w:rsid w:val="00AC24B1"/>
    <w:rsid w:val="00AC260E"/>
    <w:rsid w:val="00AD145D"/>
    <w:rsid w:val="00AD20E6"/>
    <w:rsid w:val="00AD3ACD"/>
    <w:rsid w:val="00AD4BB3"/>
    <w:rsid w:val="00AD6F34"/>
    <w:rsid w:val="00AE020D"/>
    <w:rsid w:val="00AE4607"/>
    <w:rsid w:val="00AF0AAB"/>
    <w:rsid w:val="00AF156F"/>
    <w:rsid w:val="00AF3B58"/>
    <w:rsid w:val="00AF616B"/>
    <w:rsid w:val="00B034AD"/>
    <w:rsid w:val="00B04169"/>
    <w:rsid w:val="00B0685B"/>
    <w:rsid w:val="00B14206"/>
    <w:rsid w:val="00B22D22"/>
    <w:rsid w:val="00B23030"/>
    <w:rsid w:val="00B237B9"/>
    <w:rsid w:val="00B23CAA"/>
    <w:rsid w:val="00B2489D"/>
    <w:rsid w:val="00B375D2"/>
    <w:rsid w:val="00B410EE"/>
    <w:rsid w:val="00B44881"/>
    <w:rsid w:val="00B63BD0"/>
    <w:rsid w:val="00B72906"/>
    <w:rsid w:val="00B73B0E"/>
    <w:rsid w:val="00B73EA8"/>
    <w:rsid w:val="00B75B23"/>
    <w:rsid w:val="00B8202D"/>
    <w:rsid w:val="00B82181"/>
    <w:rsid w:val="00B826F3"/>
    <w:rsid w:val="00B91271"/>
    <w:rsid w:val="00B91605"/>
    <w:rsid w:val="00B91895"/>
    <w:rsid w:val="00B929FD"/>
    <w:rsid w:val="00B94467"/>
    <w:rsid w:val="00B95B99"/>
    <w:rsid w:val="00B95F69"/>
    <w:rsid w:val="00B95F75"/>
    <w:rsid w:val="00BA3464"/>
    <w:rsid w:val="00BA4A2A"/>
    <w:rsid w:val="00BB6AD3"/>
    <w:rsid w:val="00BC0122"/>
    <w:rsid w:val="00BC16C1"/>
    <w:rsid w:val="00BC2015"/>
    <w:rsid w:val="00BC66FE"/>
    <w:rsid w:val="00BC71B0"/>
    <w:rsid w:val="00BD16AB"/>
    <w:rsid w:val="00BD4E08"/>
    <w:rsid w:val="00BD6DBC"/>
    <w:rsid w:val="00BE17FE"/>
    <w:rsid w:val="00BE363D"/>
    <w:rsid w:val="00BE3E2D"/>
    <w:rsid w:val="00BF4590"/>
    <w:rsid w:val="00BF597E"/>
    <w:rsid w:val="00C03098"/>
    <w:rsid w:val="00C046D1"/>
    <w:rsid w:val="00C10351"/>
    <w:rsid w:val="00C10EF3"/>
    <w:rsid w:val="00C14685"/>
    <w:rsid w:val="00C31C73"/>
    <w:rsid w:val="00C44328"/>
    <w:rsid w:val="00C5112E"/>
    <w:rsid w:val="00C513CB"/>
    <w:rsid w:val="00C51A36"/>
    <w:rsid w:val="00C548BE"/>
    <w:rsid w:val="00C55228"/>
    <w:rsid w:val="00C62031"/>
    <w:rsid w:val="00C67E19"/>
    <w:rsid w:val="00C67E47"/>
    <w:rsid w:val="00C70284"/>
    <w:rsid w:val="00C71E85"/>
    <w:rsid w:val="00C723C8"/>
    <w:rsid w:val="00C73C26"/>
    <w:rsid w:val="00C745AF"/>
    <w:rsid w:val="00C750BE"/>
    <w:rsid w:val="00C76A3E"/>
    <w:rsid w:val="00C81E93"/>
    <w:rsid w:val="00C86F9B"/>
    <w:rsid w:val="00C87FEE"/>
    <w:rsid w:val="00C90930"/>
    <w:rsid w:val="00C9113A"/>
    <w:rsid w:val="00C920A9"/>
    <w:rsid w:val="00C93340"/>
    <w:rsid w:val="00CB0154"/>
    <w:rsid w:val="00CB0D49"/>
    <w:rsid w:val="00CB127F"/>
    <w:rsid w:val="00CB260B"/>
    <w:rsid w:val="00CB3729"/>
    <w:rsid w:val="00CB43FE"/>
    <w:rsid w:val="00CB49F0"/>
    <w:rsid w:val="00CC2A01"/>
    <w:rsid w:val="00CC6864"/>
    <w:rsid w:val="00CD394A"/>
    <w:rsid w:val="00CD6C83"/>
    <w:rsid w:val="00CE0AA5"/>
    <w:rsid w:val="00CE2A9E"/>
    <w:rsid w:val="00CE315A"/>
    <w:rsid w:val="00CE4B8A"/>
    <w:rsid w:val="00CE7BE1"/>
    <w:rsid w:val="00CE7F7F"/>
    <w:rsid w:val="00CF1062"/>
    <w:rsid w:val="00CF147A"/>
    <w:rsid w:val="00CF1726"/>
    <w:rsid w:val="00CF5473"/>
    <w:rsid w:val="00CF5717"/>
    <w:rsid w:val="00CF5B83"/>
    <w:rsid w:val="00CF6C5C"/>
    <w:rsid w:val="00CF7295"/>
    <w:rsid w:val="00D004F0"/>
    <w:rsid w:val="00D06F59"/>
    <w:rsid w:val="00D14BD7"/>
    <w:rsid w:val="00D209B7"/>
    <w:rsid w:val="00D21AF9"/>
    <w:rsid w:val="00D3392D"/>
    <w:rsid w:val="00D34A3D"/>
    <w:rsid w:val="00D34C3B"/>
    <w:rsid w:val="00D379ED"/>
    <w:rsid w:val="00D37D1B"/>
    <w:rsid w:val="00D41F5E"/>
    <w:rsid w:val="00D429D7"/>
    <w:rsid w:val="00D42D53"/>
    <w:rsid w:val="00D55E69"/>
    <w:rsid w:val="00D562F6"/>
    <w:rsid w:val="00D7313F"/>
    <w:rsid w:val="00D74FBF"/>
    <w:rsid w:val="00D7717E"/>
    <w:rsid w:val="00D80770"/>
    <w:rsid w:val="00D82AE9"/>
    <w:rsid w:val="00D83050"/>
    <w:rsid w:val="00D8388C"/>
    <w:rsid w:val="00D90417"/>
    <w:rsid w:val="00D905B1"/>
    <w:rsid w:val="00D922EF"/>
    <w:rsid w:val="00D94B75"/>
    <w:rsid w:val="00D96826"/>
    <w:rsid w:val="00D97182"/>
    <w:rsid w:val="00DA0DF0"/>
    <w:rsid w:val="00DA1393"/>
    <w:rsid w:val="00DB1D00"/>
    <w:rsid w:val="00DC61A0"/>
    <w:rsid w:val="00DD10DC"/>
    <w:rsid w:val="00DD11F9"/>
    <w:rsid w:val="00DD1C8E"/>
    <w:rsid w:val="00DD1D21"/>
    <w:rsid w:val="00DD2028"/>
    <w:rsid w:val="00DD644F"/>
    <w:rsid w:val="00DD7876"/>
    <w:rsid w:val="00DE146D"/>
    <w:rsid w:val="00DE2D80"/>
    <w:rsid w:val="00DE339A"/>
    <w:rsid w:val="00DE6FCE"/>
    <w:rsid w:val="00DF1C4B"/>
    <w:rsid w:val="00DF6570"/>
    <w:rsid w:val="00DF76DB"/>
    <w:rsid w:val="00E00EC5"/>
    <w:rsid w:val="00E02804"/>
    <w:rsid w:val="00E038E4"/>
    <w:rsid w:val="00E0475D"/>
    <w:rsid w:val="00E0521C"/>
    <w:rsid w:val="00E070B7"/>
    <w:rsid w:val="00E07DDE"/>
    <w:rsid w:val="00E11CD7"/>
    <w:rsid w:val="00E13D9A"/>
    <w:rsid w:val="00E14BA9"/>
    <w:rsid w:val="00E16755"/>
    <w:rsid w:val="00E221C3"/>
    <w:rsid w:val="00E31F2E"/>
    <w:rsid w:val="00E32D13"/>
    <w:rsid w:val="00E357F3"/>
    <w:rsid w:val="00E43822"/>
    <w:rsid w:val="00E43A35"/>
    <w:rsid w:val="00E457E0"/>
    <w:rsid w:val="00E45C87"/>
    <w:rsid w:val="00E54035"/>
    <w:rsid w:val="00E5717A"/>
    <w:rsid w:val="00E62996"/>
    <w:rsid w:val="00E63714"/>
    <w:rsid w:val="00E64A51"/>
    <w:rsid w:val="00E6527A"/>
    <w:rsid w:val="00E676F9"/>
    <w:rsid w:val="00E67C09"/>
    <w:rsid w:val="00E910C0"/>
    <w:rsid w:val="00E954BE"/>
    <w:rsid w:val="00E95637"/>
    <w:rsid w:val="00E97424"/>
    <w:rsid w:val="00EA55F7"/>
    <w:rsid w:val="00EA5870"/>
    <w:rsid w:val="00EB0164"/>
    <w:rsid w:val="00EB2106"/>
    <w:rsid w:val="00EB5DF5"/>
    <w:rsid w:val="00EB65F7"/>
    <w:rsid w:val="00EC42F5"/>
    <w:rsid w:val="00ED0F62"/>
    <w:rsid w:val="00ED49CB"/>
    <w:rsid w:val="00EE5CD9"/>
    <w:rsid w:val="00EE6190"/>
    <w:rsid w:val="00EE6713"/>
    <w:rsid w:val="00EE6F50"/>
    <w:rsid w:val="00EF29B6"/>
    <w:rsid w:val="00EF3569"/>
    <w:rsid w:val="00EF36E7"/>
    <w:rsid w:val="00F06B25"/>
    <w:rsid w:val="00F06D09"/>
    <w:rsid w:val="00F079BB"/>
    <w:rsid w:val="00F11201"/>
    <w:rsid w:val="00F115BF"/>
    <w:rsid w:val="00F14D99"/>
    <w:rsid w:val="00F2038C"/>
    <w:rsid w:val="00F25AFF"/>
    <w:rsid w:val="00F31E8A"/>
    <w:rsid w:val="00F32CB9"/>
    <w:rsid w:val="00F33729"/>
    <w:rsid w:val="00F3372A"/>
    <w:rsid w:val="00F35CD7"/>
    <w:rsid w:val="00F3666E"/>
    <w:rsid w:val="00F36BE9"/>
    <w:rsid w:val="00F377A9"/>
    <w:rsid w:val="00F41617"/>
    <w:rsid w:val="00F42776"/>
    <w:rsid w:val="00F44D4E"/>
    <w:rsid w:val="00F47878"/>
    <w:rsid w:val="00F55DB9"/>
    <w:rsid w:val="00F606E1"/>
    <w:rsid w:val="00F66C77"/>
    <w:rsid w:val="00F6739D"/>
    <w:rsid w:val="00F70253"/>
    <w:rsid w:val="00F756B1"/>
    <w:rsid w:val="00F76276"/>
    <w:rsid w:val="00F83639"/>
    <w:rsid w:val="00F83EB6"/>
    <w:rsid w:val="00F840C3"/>
    <w:rsid w:val="00F856F5"/>
    <w:rsid w:val="00F8598C"/>
    <w:rsid w:val="00F907ED"/>
    <w:rsid w:val="00F956F5"/>
    <w:rsid w:val="00F97505"/>
    <w:rsid w:val="00FA0833"/>
    <w:rsid w:val="00FA2988"/>
    <w:rsid w:val="00FA350D"/>
    <w:rsid w:val="00FB03C3"/>
    <w:rsid w:val="00FB150B"/>
    <w:rsid w:val="00FB5904"/>
    <w:rsid w:val="00FB5A65"/>
    <w:rsid w:val="00FB6C45"/>
    <w:rsid w:val="00FC01AB"/>
    <w:rsid w:val="00FC5A11"/>
    <w:rsid w:val="00FD0A28"/>
    <w:rsid w:val="00FD2869"/>
    <w:rsid w:val="00FD29DC"/>
    <w:rsid w:val="00FD5EE5"/>
    <w:rsid w:val="00FD72A6"/>
    <w:rsid w:val="00FD7D63"/>
    <w:rsid w:val="00FE09C9"/>
    <w:rsid w:val="00FE3DB1"/>
    <w:rsid w:val="00FE62BD"/>
    <w:rsid w:val="108219C2"/>
    <w:rsid w:val="13A63693"/>
    <w:rsid w:val="1A5A2D4F"/>
    <w:rsid w:val="1FE97E55"/>
    <w:rsid w:val="22667EA1"/>
    <w:rsid w:val="257F61F5"/>
    <w:rsid w:val="33980C92"/>
    <w:rsid w:val="3C37200A"/>
    <w:rsid w:val="3EFE1E46"/>
    <w:rsid w:val="424979C8"/>
    <w:rsid w:val="4A177381"/>
    <w:rsid w:val="4FF0324F"/>
    <w:rsid w:val="551E35F6"/>
    <w:rsid w:val="570B0679"/>
    <w:rsid w:val="5EA12B9A"/>
    <w:rsid w:val="608758B9"/>
    <w:rsid w:val="65756820"/>
    <w:rsid w:val="708C6180"/>
    <w:rsid w:val="763D45DB"/>
    <w:rsid w:val="7C042EC3"/>
    <w:rsid w:val="7E1D3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2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Normal Indent"/>
    <w:basedOn w:val="1"/>
    <w:qFormat/>
    <w:uiPriority w:val="0"/>
    <w:pPr>
      <w:adjustRightInd w:val="0"/>
      <w:spacing w:line="360" w:lineRule="atLeast"/>
      <w:ind w:left="480"/>
      <w:textAlignment w:val="baseline"/>
    </w:pPr>
    <w:rPr>
      <w:kern w:val="0"/>
    </w:rPr>
  </w:style>
  <w:style w:type="paragraph" w:styleId="5">
    <w:name w:val="Body Text"/>
    <w:basedOn w:val="1"/>
    <w:link w:val="22"/>
    <w:unhideWhenUsed/>
    <w:qFormat/>
    <w:uiPriority w:val="99"/>
    <w:pPr>
      <w:spacing w:line="420" w:lineRule="exact"/>
    </w:pPr>
    <w:rPr>
      <w:sz w:val="24"/>
    </w:rPr>
  </w:style>
  <w:style w:type="paragraph" w:styleId="6">
    <w:name w:val="Body Text Indent"/>
    <w:basedOn w:val="1"/>
    <w:qFormat/>
    <w:uiPriority w:val="0"/>
    <w:pPr>
      <w:ind w:left="360"/>
    </w:pPr>
    <w:rPr>
      <w:sz w:val="20"/>
    </w:rPr>
  </w:style>
  <w:style w:type="paragraph" w:styleId="7">
    <w:name w:val="Plain Text"/>
    <w:basedOn w:val="1"/>
    <w:link w:val="23"/>
    <w:qFormat/>
    <w:uiPriority w:val="0"/>
    <w:rPr>
      <w:rFonts w:ascii="宋体" w:hAnsi="Courier New"/>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4"/>
    <w:qFormat/>
    <w:uiPriority w:val="0"/>
    <w:pPr>
      <w:widowControl/>
      <w:jc w:val="center"/>
    </w:pPr>
    <w:rPr>
      <w:rFonts w:ascii="Book Antiqua" w:hAnsi="Book Antiqua"/>
      <w:b/>
      <w:kern w:val="0"/>
      <w:sz w:val="31"/>
      <w:szCs w:val="31"/>
      <w:u w:val="single"/>
      <w:lang w:eastAsia="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0"/>
    <w:rPr>
      <w:rFonts w:ascii="Times New Roman" w:hAnsi="Times New Roman" w:eastAsia="宋体" w:cs="Times New Roman"/>
      <w:sz w:val="18"/>
      <w:szCs w:val="18"/>
    </w:rPr>
  </w:style>
  <w:style w:type="character" w:customStyle="1" w:styleId="16">
    <w:name w:val="页脚 Char"/>
    <w:basedOn w:val="14"/>
    <w:link w:val="9"/>
    <w:qFormat/>
    <w:uiPriority w:val="99"/>
    <w:rPr>
      <w:rFonts w:ascii="Times New Roman" w:hAnsi="Times New Roman" w:eastAsia="宋体" w:cs="Times New Roman"/>
      <w:sz w:val="18"/>
      <w:szCs w:val="18"/>
    </w:rPr>
  </w:style>
  <w:style w:type="character" w:customStyle="1" w:styleId="17">
    <w:name w:val="批注框文本 Char"/>
    <w:basedOn w:val="14"/>
    <w:link w:val="8"/>
    <w:semiHidden/>
    <w:qFormat/>
    <w:uiPriority w:val="99"/>
    <w:rPr>
      <w:rFonts w:ascii="Times New Roman" w:hAnsi="Times New Roman" w:eastAsia="宋体" w:cs="Times New Roman"/>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character" w:customStyle="1" w:styleId="19">
    <w:name w:val="fontstyle01"/>
    <w:basedOn w:val="14"/>
    <w:qFormat/>
    <w:uiPriority w:val="0"/>
    <w:rPr>
      <w:rFonts w:hint="eastAsia" w:ascii="宋体" w:hAnsi="宋体" w:eastAsia="宋体"/>
      <w:color w:val="000000"/>
      <w:sz w:val="24"/>
      <w:szCs w:val="24"/>
    </w:rPr>
  </w:style>
  <w:style w:type="character" w:customStyle="1" w:styleId="20">
    <w:name w:val="fontstyle21"/>
    <w:basedOn w:val="14"/>
    <w:qFormat/>
    <w:uiPriority w:val="0"/>
    <w:rPr>
      <w:rFonts w:hint="default" w:ascii="Times New Roman" w:hAnsi="Times New Roman" w:cs="Times New Roman"/>
      <w:color w:val="000000"/>
      <w:sz w:val="24"/>
      <w:szCs w:val="24"/>
    </w:rPr>
  </w:style>
  <w:style w:type="character" w:customStyle="1" w:styleId="21">
    <w:name w:val="标题 2 Char"/>
    <w:basedOn w:val="14"/>
    <w:link w:val="3"/>
    <w:qFormat/>
    <w:uiPriority w:val="9"/>
    <w:rPr>
      <w:rFonts w:asciiTheme="majorHAnsi" w:hAnsiTheme="majorHAnsi" w:eastAsiaTheme="majorEastAsia" w:cstheme="majorBidi"/>
      <w:b/>
      <w:bCs/>
      <w:kern w:val="2"/>
      <w:sz w:val="32"/>
      <w:szCs w:val="32"/>
    </w:rPr>
  </w:style>
  <w:style w:type="character" w:customStyle="1" w:styleId="22">
    <w:name w:val="正文文本 Char"/>
    <w:basedOn w:val="14"/>
    <w:link w:val="5"/>
    <w:qFormat/>
    <w:uiPriority w:val="99"/>
    <w:rPr>
      <w:rFonts w:ascii="Times New Roman" w:hAnsi="Times New Roman" w:eastAsia="宋体" w:cs="Times New Roman"/>
      <w:kern w:val="2"/>
      <w:sz w:val="24"/>
    </w:rPr>
  </w:style>
  <w:style w:type="character" w:customStyle="1" w:styleId="23">
    <w:name w:val="纯文本 Char"/>
    <w:basedOn w:val="14"/>
    <w:link w:val="7"/>
    <w:qFormat/>
    <w:uiPriority w:val="0"/>
    <w:rPr>
      <w:rFonts w:ascii="宋体" w:hAnsi="Courier New" w:eastAsia="宋体" w:cs="Times New Roman"/>
      <w:kern w:val="2"/>
      <w:sz w:val="21"/>
    </w:rPr>
  </w:style>
  <w:style w:type="character" w:customStyle="1" w:styleId="24">
    <w:name w:val="标题 Char"/>
    <w:basedOn w:val="14"/>
    <w:link w:val="11"/>
    <w:qFormat/>
    <w:uiPriority w:val="0"/>
    <w:rPr>
      <w:rFonts w:ascii="Book Antiqua" w:hAnsi="Book Antiqua" w:eastAsia="宋体" w:cs="Times New Roman"/>
      <w:b/>
      <w:sz w:val="31"/>
      <w:szCs w:val="31"/>
      <w:u w:val="single"/>
      <w:lang w:eastAsia="en-US"/>
    </w:rPr>
  </w:style>
  <w:style w:type="paragraph" w:styleId="25">
    <w:name w:val="List Paragraph"/>
    <w:basedOn w:val="1"/>
    <w:unhideWhenUsed/>
    <w:qFormat/>
    <w:uiPriority w:val="99"/>
    <w:pPr>
      <w:ind w:firstLine="420" w:firstLineChars="200"/>
    </w:pPr>
  </w:style>
  <w:style w:type="paragraph" w:styleId="26">
    <w:name w:val="No Spacing"/>
    <w:qFormat/>
    <w:uiPriority w:val="0"/>
    <w:pPr>
      <w:widowControl w:val="0"/>
      <w:adjustRightInd w:val="0"/>
      <w:jc w:val="both"/>
      <w:textAlignment w:val="baseline"/>
    </w:pPr>
    <w:rPr>
      <w:rFonts w:ascii="Times New Roman" w:hAnsi="Times New Roman" w:eastAsia="宋体" w:cs="Times New Roman"/>
      <w:kern w:val="2"/>
      <w:sz w:val="21"/>
      <w:szCs w:val="24"/>
      <w:lang w:val="en-US" w:eastAsia="zh-CN" w:bidi="ar-SA"/>
    </w:rPr>
  </w:style>
  <w:style w:type="paragraph" w:customStyle="1" w:styleId="2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1124</Words>
  <Characters>6408</Characters>
  <Lines>53</Lines>
  <Paragraphs>15</Paragraphs>
  <TotalTime>21</TotalTime>
  <ScaleCrop>false</ScaleCrop>
  <LinksUpToDate>false</LinksUpToDate>
  <CharactersWithSpaces>7517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2021-12-09T06:58:58Z</dcterms:modified>
  <cp:revision>1063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09F14CBBFF1F43F2AC6A6C47E612F8C9</vt:lpwstr>
  </property>
</Properties>
</file>