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7" w:name="_GoBack"/>
      <w:bookmarkEnd w:id="7"/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3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20"/>
        <w:gridCol w:w="941"/>
        <w:gridCol w:w="927"/>
        <w:gridCol w:w="1607"/>
        <w:gridCol w:w="2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6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91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中建城开环境建设有限公司</w:t>
            </w:r>
            <w:bookmarkEnd w:id="5"/>
          </w:p>
        </w:tc>
        <w:tc>
          <w:tcPr>
            <w:tcW w:w="160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EC：28.02.00;28.03.01;28.04.01;28.04.02;28.05.01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E：28.02.00;28.03.01;28.04.01;28.04.02;28.05.01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O：28.02.00;28.03.01;28.04.01;28.04.02;28.05.01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房屋建筑：场地平整---定位放线---基础土方---基础垫层---基础钢筋---基础模板---基础砼---基础回填---主体钢筋---主体模板---主体砼---屋面施工---内外墙砌筑-----分部工程验收---单位工程竣工验收---单位工程合格交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sz w:val="21"/>
                <w:szCs w:val="21"/>
              </w:rPr>
              <w:t>市政公用工程流程：签订合同—组建项目部—编制施工组织设计—组织施工—过程检验—分部分项验收—竣工验收—交付及交付后的活动。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3、公路工程：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测量放线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--土方开挖、回填--清淤--砂石垫层--砼预制块护坡--沥青填缝--竣工交验。</w:t>
            </w:r>
          </w:p>
          <w:p>
            <w:pPr>
              <w:snapToGrid w:val="0"/>
              <w:spacing w:line="280" w:lineRule="exact"/>
              <w:rPr>
                <w:rFonts w:hint="default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b/>
                <w:sz w:val="20"/>
              </w:rPr>
              <w:t>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738" w:firstLineChars="350"/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钢筋焊接过程、砼浇筑、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防腐防水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控制方法：编制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施工组织设计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专项施工方案、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作业指导书、技术交底、现场培训、人员持证上岗施工过程平行检查、巡视旁站等。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738" w:firstLineChars="350"/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噪音、固废、扬尘、有毒有害气体排放、潜在的火灾/爆炸等。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坍塌、物体打击、电伤害、有毒有害气体排放、火灾、爆炸、机械伤害等。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JGJ46-2005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施工现场临时用电安全技术规范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GB/T50326-2006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建设工程项目管理规范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GB50194-2014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建设工程施工现场供用电安全规范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GB/T50328-2014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建设工程文件归档整理规范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GB50092-96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沥青路面施工及验收规范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DBJ50-078-2008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城市道路工程施工质量验收规范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7J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JTG F40-2004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公路沥青路面施工技术规范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J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JTGF10-2006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公路路基施工技术规范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、《防洪标准》（GB50201-2014）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、《水利水电工程等级划分及洪水标准》（SL252-2017）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、《水利水电工程等级划分及洪水标准》（SL252-2017）、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、《建筑抗震设计规范》（GB50011-2010）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进场构配件验收</w:t>
            </w:r>
            <w:r>
              <w:rPr>
                <w:rFonts w:hint="eastAsia"/>
                <w:b/>
                <w:bCs/>
                <w:sz w:val="21"/>
                <w:szCs w:val="21"/>
              </w:rPr>
              <w:t>检验外观、数量、合格证。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闭水试验等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带肋钢筋、水泥、混凝土</w:t>
            </w:r>
            <w:r>
              <w:rPr>
                <w:rFonts w:hint="eastAsia"/>
                <w:b/>
                <w:bCs/>
                <w:sz w:val="21"/>
                <w:szCs w:val="21"/>
              </w:rPr>
              <w:t>型式试验要求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提供第三方检测报告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1、工程项目内容是否在企业资质范围内；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2、建设工程项目开工须获取建设单位提供的开工许可；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3、工程使用的材料、设备需进场验收并记录；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b/>
                <w:sz w:val="20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4、</w:t>
            </w:r>
            <w:r>
              <w:rPr>
                <w:rFonts w:hint="eastAsia" w:hAnsi="宋体" w:cs="楷体_GB2312"/>
                <w:b/>
                <w:bCs/>
                <w:sz w:val="21"/>
                <w:szCs w:val="21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；</w:t>
            </w: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64770</wp:posOffset>
                  </wp:positionV>
                  <wp:extent cx="440690" cy="339725"/>
                  <wp:effectExtent l="0" t="0" r="16510" b="3175"/>
                  <wp:wrapNone/>
                  <wp:docPr id="1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06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-793115</wp:posOffset>
                  </wp:positionH>
                  <wp:positionV relativeFrom="paragraph">
                    <wp:posOffset>351155</wp:posOffset>
                  </wp:positionV>
                  <wp:extent cx="440690" cy="339725"/>
                  <wp:effectExtent l="0" t="0" r="16510" b="3175"/>
                  <wp:wrapNone/>
                  <wp:docPr id="4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06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4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7853045</wp:posOffset>
                  </wp:positionV>
                  <wp:extent cx="440690" cy="339725"/>
                  <wp:effectExtent l="0" t="0" r="16510" b="3175"/>
                  <wp:wrapNone/>
                  <wp:docPr id="3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06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6755130</wp:posOffset>
                  </wp:positionV>
                  <wp:extent cx="642620" cy="305435"/>
                  <wp:effectExtent l="0" t="0" r="5080" b="18415"/>
                  <wp:wrapNone/>
                  <wp:docPr id="2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426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rPr>
          <w:rFonts w:ascii="宋体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AAD45"/>
    <w:multiLevelType w:val="singleLevel"/>
    <w:tmpl w:val="F8AAAD45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5D3B44"/>
    <w:rsid w:val="69F01598"/>
    <w:rsid w:val="76AB643D"/>
    <w:rsid w:val="7B3C1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2021-11-15T06:15:51Z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