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auto"/>
          <w:sz w:val="36"/>
          <w:szCs w:val="36"/>
          <w:lang w:val="en-US" w:eastAsia="zh-CN"/>
        </w:rPr>
      </w:pPr>
      <w:r>
        <w:rPr>
          <w:rFonts w:hint="eastAsia" w:asciiTheme="minorEastAsia" w:hAnsiTheme="minorEastAsia" w:eastAsiaTheme="minorEastAsia" w:cstheme="minorEastAsia"/>
          <w:bCs/>
          <w:color w:val="auto"/>
          <w:sz w:val="36"/>
          <w:szCs w:val="36"/>
        </w:rPr>
        <w:t>管理体系审核记录表</w:t>
      </w:r>
      <w:bookmarkStart w:id="1" w:name="_GoBack"/>
      <w:bookmarkEnd w:id="1"/>
      <w:r>
        <w:rPr>
          <w:rFonts w:hint="eastAsia" w:asciiTheme="minorEastAsia" w:hAnsiTheme="minorEastAsia" w:eastAsiaTheme="minorEastAsia" w:cstheme="minorEastAsia"/>
          <w:bCs/>
          <w:color w:val="auto"/>
          <w:sz w:val="36"/>
          <w:szCs w:val="36"/>
          <w:lang w:val="en-US" w:eastAsia="zh-CN"/>
        </w:rPr>
        <w:t>1</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585"/>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836"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585" w:type="dxa"/>
            <w:vAlign w:val="center"/>
          </w:tcPr>
          <w:p>
            <w:pPr>
              <w:rPr>
                <w:rFonts w:hint="default" w:asciiTheme="minorEastAsia" w:hAnsiTheme="minorEastAsia" w:eastAsiaTheme="minorEastAsia" w:cstheme="minorEastAsia"/>
                <w:color w:val="auto"/>
                <w:sz w:val="21"/>
                <w:szCs w:val="21"/>
                <w:lang w:val="en-US" w:eastAsia="zh-CN"/>
              </w:rPr>
            </w:pPr>
            <w:r>
              <w:rPr>
                <w:rFonts w:ascii="Times New Roman" w:hAnsi="宋体"/>
                <w:color w:val="auto"/>
              </w:rPr>
              <w:t>受审核部门：管理层</w:t>
            </w:r>
            <w:r>
              <w:rPr>
                <w:rFonts w:ascii="Times New Roman" w:hAnsi="Times New Roman"/>
                <w:color w:val="auto"/>
              </w:rPr>
              <w:t xml:space="preserve">     </w:t>
            </w:r>
            <w:r>
              <w:rPr>
                <w:rFonts w:ascii="Times New Roman" w:hAnsi="宋体"/>
                <w:color w:val="auto"/>
              </w:rPr>
              <w:t>主管领导：总经理</w:t>
            </w:r>
            <w:r>
              <w:rPr>
                <w:rFonts w:ascii="Times New Roman" w:hAnsi="Times New Roman"/>
                <w:color w:val="auto"/>
              </w:rPr>
              <w:t>/</w:t>
            </w:r>
            <w:r>
              <w:rPr>
                <w:rFonts w:ascii="Times New Roman" w:hAnsi="宋体"/>
                <w:color w:val="auto"/>
              </w:rPr>
              <w:t>管代</w:t>
            </w:r>
            <w:r>
              <w:rPr>
                <w:rFonts w:ascii="Times New Roman" w:hAnsi="Times New Roman"/>
                <w:color w:val="auto"/>
              </w:rPr>
              <w:t xml:space="preserve"> </w:t>
            </w:r>
            <w:r>
              <w:rPr>
                <w:rFonts w:hint="eastAsia" w:ascii="Times New Roman" w:hAnsi="宋体"/>
                <w:color w:val="auto"/>
              </w:rPr>
              <w:t>李平</w:t>
            </w:r>
            <w:r>
              <w:rPr>
                <w:rFonts w:ascii="Times New Roman" w:hAnsi="Times New Roman"/>
                <w:color w:val="auto"/>
              </w:rPr>
              <w:t>/</w:t>
            </w:r>
            <w:r>
              <w:rPr>
                <w:rFonts w:hint="eastAsia" w:hAnsi="宋体"/>
                <w:color w:val="auto"/>
                <w:lang w:eastAsia="zh-CN"/>
              </w:rPr>
              <w:t>李运华</w:t>
            </w:r>
            <w:r>
              <w:rPr>
                <w:rFonts w:ascii="Times New Roman" w:hAnsi="Times New Roman"/>
                <w:color w:val="auto"/>
              </w:rPr>
              <w:t xml:space="preserve">  </w:t>
            </w:r>
            <w:r>
              <w:rPr>
                <w:rFonts w:ascii="Times New Roman" w:hAnsi="宋体"/>
                <w:color w:val="auto"/>
              </w:rPr>
              <w:t>陪同人员：</w:t>
            </w:r>
            <w:r>
              <w:rPr>
                <w:rFonts w:hint="eastAsia" w:ascii="Times New Roman" w:hAnsi="宋体"/>
                <w:color w:val="auto"/>
              </w:rPr>
              <w:t>胡剑萍</w:t>
            </w:r>
          </w:p>
        </w:tc>
        <w:tc>
          <w:tcPr>
            <w:tcW w:w="489"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Theme="minorEastAsia" w:hAnsiTheme="minorEastAsia" w:eastAsiaTheme="minorEastAsia" w:cstheme="minorEastAsia"/>
                <w:color w:val="auto"/>
                <w:sz w:val="21"/>
                <w:szCs w:val="21"/>
              </w:rPr>
            </w:pPr>
          </w:p>
        </w:tc>
        <w:tc>
          <w:tcPr>
            <w:tcW w:w="836" w:type="dxa"/>
            <w:vMerge w:val="continue"/>
            <w:vAlign w:val="center"/>
          </w:tcPr>
          <w:p>
            <w:pPr>
              <w:rPr>
                <w:rFonts w:hint="eastAsia" w:asciiTheme="minorEastAsia" w:hAnsiTheme="minorEastAsia" w:eastAsiaTheme="minorEastAsia" w:cstheme="minorEastAsia"/>
                <w:color w:val="auto"/>
                <w:sz w:val="21"/>
                <w:szCs w:val="21"/>
              </w:rPr>
            </w:pPr>
          </w:p>
        </w:tc>
        <w:tc>
          <w:tcPr>
            <w:tcW w:w="11585" w:type="dxa"/>
            <w:vAlign w:val="center"/>
          </w:tcPr>
          <w:p>
            <w:pPr>
              <w:spacing w:before="120"/>
              <w:rPr>
                <w:rFonts w:hint="default" w:eastAsia="宋体"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审核员：  </w:t>
            </w:r>
            <w:r>
              <w:rPr>
                <w:rFonts w:hint="eastAsia" w:asciiTheme="minorEastAsia" w:hAnsiTheme="minorEastAsia" w:eastAsiaTheme="minorEastAsia" w:cstheme="minorEastAsia"/>
                <w:color w:val="auto"/>
                <w:sz w:val="21"/>
                <w:szCs w:val="21"/>
                <w:lang w:val="en-US" w:eastAsia="zh-CN"/>
              </w:rPr>
              <w:t>李凤仪</w:t>
            </w:r>
            <w:r>
              <w:rPr>
                <w:rFonts w:hint="eastAsia" w:asciiTheme="minorEastAsia" w:hAnsiTheme="minorEastAsia" w:eastAsiaTheme="minorEastAsia" w:cstheme="minorEastAsia"/>
                <w:color w:val="auto"/>
                <w:sz w:val="21"/>
                <w:szCs w:val="21"/>
              </w:rPr>
              <w:t xml:space="preserve">           </w:t>
            </w:r>
            <w:r>
              <w:rPr>
                <w:rFonts w:ascii="Times New Roman" w:hAnsi="宋体"/>
                <w:color w:val="auto"/>
              </w:rPr>
              <w:t>审核时间：</w:t>
            </w:r>
            <w:r>
              <w:rPr>
                <w:rFonts w:ascii="Times New Roman" w:hAnsi="Times New Roman"/>
                <w:color w:val="auto"/>
              </w:rPr>
              <w:t>202</w:t>
            </w:r>
            <w:r>
              <w:rPr>
                <w:rFonts w:hint="eastAsia"/>
                <w:color w:val="auto"/>
                <w:lang w:val="en-US" w:eastAsia="zh-CN"/>
              </w:rPr>
              <w:t>1</w:t>
            </w:r>
            <w:r>
              <w:rPr>
                <w:rFonts w:ascii="Times New Roman" w:hAnsi="Times New Roman"/>
                <w:color w:val="auto"/>
              </w:rPr>
              <w:t>.1</w:t>
            </w:r>
            <w:r>
              <w:rPr>
                <w:rFonts w:hint="eastAsia"/>
                <w:color w:val="auto"/>
                <w:lang w:val="en-US" w:eastAsia="zh-CN"/>
              </w:rPr>
              <w:t>1</w:t>
            </w:r>
            <w:r>
              <w:rPr>
                <w:rFonts w:ascii="Times New Roman" w:hAnsi="Times New Roman"/>
                <w:color w:val="auto"/>
              </w:rPr>
              <w:t>.</w:t>
            </w:r>
            <w:r>
              <w:rPr>
                <w:rFonts w:hint="eastAsia"/>
                <w:color w:val="auto"/>
                <w:lang w:val="en-US" w:eastAsia="zh-CN"/>
              </w:rPr>
              <w:t>18</w:t>
            </w:r>
          </w:p>
        </w:tc>
        <w:tc>
          <w:tcPr>
            <w:tcW w:w="489"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Theme="minorEastAsia" w:hAnsiTheme="minorEastAsia" w:eastAsiaTheme="minorEastAsia" w:cstheme="minorEastAsia"/>
                <w:color w:val="auto"/>
                <w:sz w:val="21"/>
                <w:szCs w:val="21"/>
              </w:rPr>
            </w:pPr>
          </w:p>
        </w:tc>
        <w:tc>
          <w:tcPr>
            <w:tcW w:w="836" w:type="dxa"/>
            <w:vMerge w:val="continue"/>
            <w:vAlign w:val="center"/>
          </w:tcPr>
          <w:p>
            <w:pPr>
              <w:rPr>
                <w:rFonts w:hint="eastAsia" w:asciiTheme="minorEastAsia" w:hAnsiTheme="minorEastAsia" w:eastAsiaTheme="minorEastAsia" w:cstheme="minorEastAsia"/>
                <w:color w:val="auto"/>
                <w:sz w:val="21"/>
                <w:szCs w:val="21"/>
              </w:rPr>
            </w:pPr>
          </w:p>
        </w:tc>
        <w:tc>
          <w:tcPr>
            <w:tcW w:w="11585" w:type="dxa"/>
            <w:vAlign w:val="center"/>
          </w:tcPr>
          <w:p>
            <w:pPr>
              <w:spacing w:line="300" w:lineRule="exact"/>
              <w:rPr>
                <w:rFonts w:hint="eastAsia" w:ascii="宋体" w:hAnsi="宋体"/>
                <w:b/>
                <w:bCs/>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auto"/>
                <w:sz w:val="21"/>
                <w:szCs w:val="21"/>
              </w:rPr>
              <w:t>审核条款：</w:t>
            </w:r>
            <w:r>
              <w:rPr>
                <w:rFonts w:hint="eastAsia" w:ascii="宋体" w:hAnsi="宋体"/>
                <w:b/>
                <w:bCs/>
                <w:color w:val="0D0D0D" w:themeColor="text1" w:themeTint="F2"/>
                <w:sz w:val="21"/>
                <w:szCs w:val="21"/>
                <w14:textFill>
                  <w14:solidFill>
                    <w14:schemeClr w14:val="tx1">
                      <w14:lumMod w14:val="95000"/>
                      <w14:lumOff w14:val="5000"/>
                    </w14:schemeClr>
                  </w14:solidFill>
                </w14:textFill>
              </w:rPr>
              <w:t>Q:4.1/4.2/4.3/4.4/（3.1）5.1（4.3）/5.2（3.2）/5.3（4.3）/6.1（12.3-5）/6.2（3.2）/6.3（3.4）/7.1.1（3.4.1）/9.1.1（3.4.2、11.1.1、11.2、12.1、12.2.1-2）/9.3（12.4）/10.1/10.3 （12.5）</w:t>
            </w:r>
          </w:p>
          <w:p>
            <w:pPr>
              <w:spacing w:line="26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489"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99" w:type="dxa"/>
            <w:vAlign w:val="top"/>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理解组织及其环境</w:t>
            </w:r>
          </w:p>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理解相关方的需求和期望</w:t>
            </w:r>
          </w:p>
        </w:tc>
        <w:tc>
          <w:tcPr>
            <w:tcW w:w="836" w:type="dxa"/>
            <w:vAlign w:val="top"/>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w:t>
            </w:r>
          </w:p>
        </w:tc>
        <w:tc>
          <w:tcPr>
            <w:tcW w:w="11585" w:type="dxa"/>
            <w:vAlign w:val="center"/>
          </w:tcPr>
          <w:p>
            <w:pPr>
              <w:spacing w:line="320" w:lineRule="exact"/>
              <w:ind w:firstLine="420" w:firstLineChars="200"/>
              <w:rPr>
                <w:rFonts w:ascii="Times New Roman" w:hAnsi="Times New Roman"/>
                <w:color w:val="auto"/>
                <w:lang w:val="zh-CN"/>
              </w:rPr>
            </w:pPr>
            <w:r>
              <w:rPr>
                <w:rFonts w:ascii="Times New Roman" w:hAnsi="宋体"/>
                <w:color w:val="auto"/>
                <w:lang w:val="zh-CN"/>
              </w:rPr>
              <w:t>基本情况：</w:t>
            </w:r>
            <w:r>
              <w:rPr>
                <w:rFonts w:hint="eastAsia" w:ascii="Times New Roman" w:hAnsi="宋体"/>
                <w:color w:val="auto"/>
              </w:rPr>
              <w:t>南昌金开工匠建设工程集团有限公司</w:t>
            </w:r>
            <w:r>
              <w:rPr>
                <w:rFonts w:ascii="Times New Roman" w:hAnsi="宋体"/>
                <w:color w:val="auto"/>
              </w:rPr>
              <w:t>，成立于</w:t>
            </w:r>
            <w:r>
              <w:rPr>
                <w:rFonts w:ascii="Times New Roman" w:hAnsi="Times New Roman"/>
                <w:color w:val="auto"/>
              </w:rPr>
              <w:t>20</w:t>
            </w:r>
            <w:r>
              <w:rPr>
                <w:rFonts w:hint="eastAsia" w:ascii="Times New Roman" w:hAnsi="Times New Roman"/>
                <w:color w:val="auto"/>
              </w:rPr>
              <w:t>03</w:t>
            </w:r>
            <w:r>
              <w:rPr>
                <w:rFonts w:ascii="Times New Roman" w:hAnsi="宋体"/>
                <w:color w:val="auto"/>
              </w:rPr>
              <w:t>年</w:t>
            </w:r>
            <w:r>
              <w:rPr>
                <w:rFonts w:hint="eastAsia" w:ascii="Times New Roman" w:hAnsi="Times New Roman"/>
                <w:color w:val="auto"/>
              </w:rPr>
              <w:t>2</w:t>
            </w:r>
            <w:r>
              <w:rPr>
                <w:rFonts w:ascii="Times New Roman" w:hAnsi="宋体"/>
                <w:color w:val="auto"/>
              </w:rPr>
              <w:t>月</w:t>
            </w:r>
            <w:r>
              <w:rPr>
                <w:rFonts w:hint="eastAsia" w:ascii="Times New Roman" w:hAnsi="宋体"/>
                <w:color w:val="auto"/>
              </w:rPr>
              <w:t>2</w:t>
            </w:r>
            <w:r>
              <w:rPr>
                <w:rFonts w:ascii="Times New Roman" w:hAnsi="Times New Roman"/>
                <w:color w:val="auto"/>
              </w:rPr>
              <w:t>7</w:t>
            </w:r>
            <w:r>
              <w:rPr>
                <w:rFonts w:ascii="Times New Roman" w:hAnsi="宋体"/>
                <w:color w:val="auto"/>
              </w:rPr>
              <w:t>日，注册资金</w:t>
            </w:r>
            <w:r>
              <w:rPr>
                <w:rFonts w:hint="eastAsia" w:ascii="Times New Roman" w:hAnsi="Times New Roman"/>
                <w:color w:val="auto"/>
              </w:rPr>
              <w:t>60000</w:t>
            </w:r>
            <w:r>
              <w:rPr>
                <w:rFonts w:ascii="Times New Roman" w:hAnsi="宋体"/>
                <w:color w:val="auto"/>
              </w:rPr>
              <w:t>万元，注册地址：</w:t>
            </w:r>
            <w:r>
              <w:rPr>
                <w:rFonts w:hint="eastAsia" w:ascii="Times New Roman" w:hAnsi="宋体"/>
                <w:color w:val="auto"/>
              </w:rPr>
              <w:t>江西省南昌经济技术开发区昌北庐山南大道</w:t>
            </w:r>
            <w:r>
              <w:rPr>
                <w:rFonts w:ascii="Times New Roman" w:hAnsi="宋体"/>
                <w:color w:val="auto"/>
              </w:rPr>
              <w:t>，主要从事</w:t>
            </w:r>
            <w:r>
              <w:rPr>
                <w:color w:val="auto"/>
                <w:sz w:val="21"/>
                <w:szCs w:val="21"/>
              </w:rPr>
              <w:t>资质范围内市政公用工程施工总承包</w:t>
            </w:r>
            <w:r>
              <w:rPr>
                <w:rFonts w:ascii="Times New Roman" w:hAnsi="宋体"/>
                <w:color w:val="auto"/>
              </w:rPr>
              <w:t>等业务，</w:t>
            </w:r>
            <w:r>
              <w:rPr>
                <w:rFonts w:ascii="Times New Roman" w:hAnsi="Times New Roman"/>
                <w:color w:val="auto"/>
              </w:rPr>
              <w:t xml:space="preserve"> </w:t>
            </w:r>
            <w:r>
              <w:rPr>
                <w:rFonts w:ascii="Times New Roman" w:hAnsi="宋体"/>
                <w:color w:val="auto"/>
              </w:rPr>
              <w:t>拥有各类大中型工程机械设备、特种设备及检测机器：</w:t>
            </w:r>
            <w:r>
              <w:rPr>
                <w:rFonts w:hint="eastAsia" w:ascii="Times New Roman" w:hAnsi="宋体"/>
                <w:color w:val="auto"/>
              </w:rPr>
              <w:t>挖掘机、推土机、自卸汽车、光轮压路机、振动压路机、强制式搅拌机、混凝土输送泵、汽车吊、砂浆搅拌机、振动夯、平板振动器、洒水车、钢筋弯曲机、钢筋切断机、电焊机、对焊机、柴油发电机、水  泵、全站仪、水准仪</w:t>
            </w:r>
            <w:r>
              <w:rPr>
                <w:rFonts w:ascii="Times New Roman" w:hAnsi="宋体"/>
                <w:color w:val="auto"/>
              </w:rPr>
              <w:t>等</w:t>
            </w:r>
            <w:r>
              <w:rPr>
                <w:rFonts w:ascii="Times New Roman" w:hAnsi="宋体"/>
                <w:color w:val="auto"/>
                <w:lang w:val="zh-CN"/>
              </w:rPr>
              <w:t>。</w:t>
            </w:r>
          </w:p>
          <w:p>
            <w:pPr>
              <w:spacing w:line="320" w:lineRule="exact"/>
              <w:ind w:firstLine="420" w:firstLineChars="200"/>
              <w:rPr>
                <w:rFonts w:ascii="Times New Roman" w:hAnsi="Times New Roman"/>
                <w:color w:val="auto"/>
              </w:rPr>
            </w:pPr>
            <w:r>
              <w:rPr>
                <w:rFonts w:ascii="Times New Roman" w:hAnsi="宋体"/>
                <w:color w:val="auto"/>
              </w:rPr>
              <w:t>根据企业发展及经营管理的需求，公司组织了对管理体系标准的学习，依据标准的要求结合实际情况对管理体系进行了策划。策划基本体现了</w:t>
            </w:r>
            <w:r>
              <w:rPr>
                <w:rFonts w:ascii="Times New Roman" w:hAnsi="Times New Roman"/>
                <w:color w:val="auto"/>
              </w:rPr>
              <w:t>PDCA</w:t>
            </w:r>
            <w:r>
              <w:rPr>
                <w:rFonts w:ascii="Times New Roman" w:hAnsi="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宋体"/>
                <w:color w:val="auto"/>
                <w:lang w:val="en-GB"/>
              </w:rPr>
              <w:t>通过制定管理制度、作业文件及相关措施，对活动的主要环节实施了有效的控制。</w:t>
            </w:r>
            <w:r>
              <w:rPr>
                <w:rFonts w:ascii="Times New Roman" w:hAnsi="宋体"/>
                <w:color w:val="auto"/>
              </w:rPr>
              <w:t>各种制度及规定基本建立。管理手册中对组织机构和职责进行了策划，形成了文件。组织机构的设置，职责、权限的分配基本明确，基本适宜，人力资源基本满足需求。</w:t>
            </w:r>
          </w:p>
          <w:p>
            <w:pPr>
              <w:spacing w:line="320" w:lineRule="exact"/>
              <w:ind w:firstLine="420" w:firstLineChars="200"/>
              <w:rPr>
                <w:rFonts w:ascii="Times New Roman" w:hAnsi="Times New Roman"/>
                <w:color w:val="auto"/>
                <w:lang w:val="zh-CN"/>
              </w:rPr>
            </w:pPr>
            <w:r>
              <w:rPr>
                <w:rFonts w:ascii="Times New Roman" w:hAnsi="宋体"/>
                <w:color w:val="auto"/>
                <w:lang w:val="zh-CN"/>
              </w:rPr>
              <w:t>公司高层通过及时了解国家相关政策、与客户</w:t>
            </w:r>
            <w:r>
              <w:rPr>
                <w:rFonts w:ascii="Times New Roman" w:hAnsi="Times New Roman"/>
                <w:color w:val="auto"/>
                <w:lang w:val="zh-CN"/>
              </w:rPr>
              <w:t>/</w:t>
            </w:r>
            <w:r>
              <w:rPr>
                <w:rFonts w:ascii="Times New Roman" w:hAnsi="宋体"/>
                <w:color w:val="auto"/>
                <w:lang w:val="zh-CN"/>
              </w:rPr>
              <w:t>同行业</w:t>
            </w:r>
            <w:r>
              <w:rPr>
                <w:rFonts w:ascii="Times New Roman" w:hAnsi="Times New Roman"/>
                <w:color w:val="auto"/>
                <w:lang w:val="zh-CN"/>
              </w:rPr>
              <w:t>/</w:t>
            </w:r>
            <w:r>
              <w:rPr>
                <w:rFonts w:ascii="Times New Roman" w:hAnsi="宋体"/>
                <w:color w:val="auto"/>
                <w:lang w:val="zh-CN"/>
              </w:rPr>
              <w:t>上下游产业的交流等方式认识公司的所处的环境，并制定经营思路。</w:t>
            </w:r>
          </w:p>
          <w:p>
            <w:pPr>
              <w:spacing w:line="320" w:lineRule="exact"/>
              <w:rPr>
                <w:rFonts w:ascii="Times New Roman" w:hAnsi="Times New Roman"/>
                <w:color w:val="auto"/>
                <w:lang w:val="zh-CN"/>
              </w:rPr>
            </w:pPr>
            <w:r>
              <w:rPr>
                <w:rFonts w:ascii="Times New Roman" w:hAnsi="宋体"/>
                <w:color w:val="auto"/>
                <w:lang w:val="zh-CN"/>
              </w:rPr>
              <w:t>总经理介绍目前对公司影响较大的是自去年</w:t>
            </w:r>
            <w:r>
              <w:rPr>
                <w:rFonts w:ascii="Times New Roman" w:hAnsi="Times New Roman"/>
                <w:color w:val="auto"/>
              </w:rPr>
              <w:t>12</w:t>
            </w:r>
            <w:r>
              <w:rPr>
                <w:rFonts w:ascii="Times New Roman" w:hAnsi="宋体"/>
                <w:color w:val="auto"/>
              </w:rPr>
              <w:t>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宋体"/>
                <w:color w:val="auto"/>
                <w:lang w:val="zh-CN"/>
              </w:rPr>
              <w:t>国内经济政策环境，可能会工程回款比较慢；同行竞争加剧；原材料、人力成本增加，行业利润会的少、环保监察力度增大在环境和安全方面投入增大等。</w:t>
            </w:r>
          </w:p>
          <w:p>
            <w:pPr>
              <w:spacing w:line="320" w:lineRule="exact"/>
              <w:rPr>
                <w:rFonts w:ascii="Times New Roman" w:hAnsi="Times New Roman"/>
                <w:color w:val="auto"/>
                <w:lang w:val="zh-CN"/>
              </w:rPr>
            </w:pPr>
            <w:r>
              <w:rPr>
                <w:rFonts w:ascii="Times New Roman" w:hAnsi="宋体"/>
                <w:color w:val="auto"/>
                <w:lang w:val="zh-CN"/>
              </w:rPr>
              <w:t>另外施工特点为点多、面散，环境、安全问题突出，也是公司施工的风险点，因此全体员工秉承：诚实守信、环境保护、安全第一的管理理念。</w:t>
            </w:r>
            <w:r>
              <w:rPr>
                <w:rFonts w:ascii="Times New Roman" w:hAnsi="Times New Roman"/>
                <w:color w:val="auto"/>
                <w:lang w:val="zh-CN"/>
              </w:rPr>
              <w:t xml:space="preserve">   </w:t>
            </w:r>
          </w:p>
          <w:p>
            <w:pPr>
              <w:spacing w:line="320" w:lineRule="exact"/>
              <w:ind w:firstLine="420" w:firstLineChars="200"/>
              <w:rPr>
                <w:rFonts w:hint="eastAsia" w:ascii="Times New Roman" w:hAnsi="Times New Roman"/>
                <w:color w:val="auto"/>
                <w:lang w:val="zh-CN"/>
              </w:rPr>
            </w:pPr>
            <w:r>
              <w:rPr>
                <w:rFonts w:ascii="Times New Roman" w:hAnsi="宋体"/>
                <w:color w:val="auto"/>
                <w:lang w:val="zh-CN"/>
              </w:rPr>
              <w:t>应对措施，努力将现有的工程打造成样板工程，提升口碑，以稳定并扩大</w:t>
            </w:r>
            <w:r>
              <w:rPr>
                <w:rFonts w:ascii="Times New Roman" w:hAnsi="宋体"/>
                <w:color w:val="auto"/>
              </w:rPr>
              <w:t>相关</w:t>
            </w:r>
            <w:r>
              <w:rPr>
                <w:rFonts w:ascii="Times New Roman" w:hAnsi="宋体"/>
                <w:color w:val="auto"/>
                <w:lang w:val="zh-CN"/>
              </w:rPr>
              <w:t>业务，通过培训增强公司标书的编写能力，增加在投标过程中的中标概率</w:t>
            </w:r>
            <w:r>
              <w:rPr>
                <w:rFonts w:ascii="Times New Roman" w:hAnsi="Times New Roman"/>
                <w:color w:val="auto"/>
                <w:lang w:val="zh-CN"/>
              </w:rPr>
              <w:t>,</w:t>
            </w:r>
            <w:r>
              <w:rPr>
                <w:rFonts w:ascii="Times New Roman" w:hAnsi="宋体"/>
                <w:color w:val="auto"/>
                <w:lang w:val="zh-CN"/>
              </w:rPr>
              <w:t>积极组织公司员工进行专业培训，提升员工职业技能，提高工作效率。</w:t>
            </w:r>
          </w:p>
        </w:tc>
        <w:tc>
          <w:tcPr>
            <w:tcW w:w="489" w:type="dxa"/>
            <w:vAlign w:val="top"/>
          </w:tcPr>
          <w:p>
            <w:pPr>
              <w:spacing w:line="320" w:lineRule="exact"/>
              <w:rPr>
                <w:rFonts w:hint="eastAsia" w:asciiTheme="minorEastAsia" w:hAnsiTheme="minorEastAsia" w:eastAsiaTheme="minorEastAsia" w:cstheme="minorEastAsia"/>
                <w:color w:val="auto"/>
                <w:sz w:val="21"/>
                <w:szCs w:val="21"/>
                <w:lang w:val="en-US" w:eastAsia="zh-CN"/>
              </w:rPr>
            </w:pPr>
            <w:r>
              <w:rPr>
                <w:rFonts w:ascii="Times New Roman" w:hAnsi="Times New Roman"/>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799" w:type="dxa"/>
            <w:tcBorders>
              <w:bottom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质量管理体系的范围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质量管理体系及其过程</w:t>
            </w:r>
          </w:p>
        </w:tc>
        <w:tc>
          <w:tcPr>
            <w:tcW w:w="836" w:type="dxa"/>
            <w:tcBorders>
              <w:bottom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Q4.3</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JQ3.1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p>
        </w:tc>
        <w:tc>
          <w:tcPr>
            <w:tcW w:w="11585" w:type="dxa"/>
            <w:tcBorders>
              <w:bottom w:val="single" w:color="auto" w:sz="4" w:space="0"/>
            </w:tcBorders>
            <w:vAlign w:val="center"/>
          </w:tcPr>
          <w:p>
            <w:pPr>
              <w:spacing w:line="320" w:lineRule="exact"/>
              <w:ind w:firstLine="420" w:firstLineChars="200"/>
              <w:rPr>
                <w:rFonts w:ascii="Times New Roman" w:hAnsi="Times New Roman"/>
                <w:color w:val="auto"/>
                <w:szCs w:val="22"/>
                <w:lang w:val="zh-CN"/>
              </w:rPr>
            </w:pPr>
            <w:r>
              <w:rPr>
                <w:rFonts w:ascii="Times New Roman" w:hAnsi="Times New Roman"/>
                <w:color w:val="auto"/>
              </w:rPr>
              <w:t>确认</w:t>
            </w:r>
            <w:r>
              <w:rPr>
                <w:rFonts w:ascii="Times New Roman" w:hAnsi="Times New Roman"/>
                <w:color w:val="auto"/>
                <w:szCs w:val="22"/>
                <w:lang w:val="zh-CN"/>
              </w:rPr>
              <w:t>该公司管理体系适用范围是：</w:t>
            </w:r>
          </w:p>
          <w:p>
            <w:pPr>
              <w:rPr>
                <w:rFonts w:hint="eastAsia" w:ascii="Times New Roman" w:hAnsi="Times New Roman"/>
                <w:color w:val="auto"/>
                <w:sz w:val="21"/>
                <w:szCs w:val="21"/>
                <w:lang w:val="zh-CN" w:eastAsia="zh-CN"/>
              </w:rPr>
            </w:pPr>
            <w:r>
              <w:rPr>
                <w:rFonts w:hint="eastAsia" w:ascii="Times New Roman" w:hAnsi="Times New Roman"/>
                <w:color w:val="auto"/>
                <w:sz w:val="21"/>
                <w:szCs w:val="21"/>
                <w:lang w:val="en-US" w:eastAsia="zh-CN"/>
              </w:rPr>
              <w:t>QJ</w:t>
            </w:r>
            <w:r>
              <w:rPr>
                <w:color w:val="auto"/>
                <w:sz w:val="21"/>
                <w:szCs w:val="21"/>
              </w:rPr>
              <w:t>资质范围内市政公用工程施工总承包</w:t>
            </w:r>
          </w:p>
          <w:p>
            <w:pPr>
              <w:spacing w:line="320" w:lineRule="exact"/>
              <w:rPr>
                <w:rFonts w:ascii="Times New Roman" w:hAnsi="Times New Roman"/>
                <w:color w:val="auto"/>
              </w:rPr>
            </w:pPr>
            <w:r>
              <w:rPr>
                <w:rFonts w:ascii="Times New Roman" w:hAnsi="Times New Roman"/>
                <w:color w:val="auto"/>
                <w:szCs w:val="22"/>
                <w:lang w:val="zh-CN"/>
              </w:rPr>
              <w:t>通过文件发放的方式在公司内部进行传递；在与客户沟通中，及时通知</w:t>
            </w:r>
            <w:r>
              <w:rPr>
                <w:rFonts w:ascii="Times New Roman" w:hAnsi="Times New Roman"/>
                <w:color w:val="auto"/>
              </w:rPr>
              <w:t>客户，为相关方获取。</w:t>
            </w:r>
          </w:p>
          <w:p>
            <w:pPr>
              <w:rPr>
                <w:rFonts w:ascii="Times New Roman" w:hAnsi="Times New Roman"/>
                <w:color w:val="auto"/>
              </w:rPr>
            </w:pPr>
            <w:r>
              <w:rPr>
                <w:rFonts w:ascii="Times New Roman" w:hAnsi="Times New Roman"/>
                <w:color w:val="auto"/>
              </w:rPr>
              <w:t>上述范围与企业目前经营范围相一致。</w:t>
            </w:r>
          </w:p>
          <w:p>
            <w:pPr>
              <w:spacing w:line="320" w:lineRule="exact"/>
              <w:ind w:firstLine="420" w:firstLineChars="200"/>
              <w:rPr>
                <w:rFonts w:hint="eastAsia" w:ascii="Times New Roman" w:hAnsi="Times New Roman"/>
                <w:color w:val="auto"/>
              </w:rPr>
            </w:pPr>
            <w:r>
              <w:rPr>
                <w:rFonts w:ascii="Times New Roman" w:hAnsi="Times New Roman"/>
                <w:color w:val="auto"/>
              </w:rPr>
              <w:t>为健全和完善本公司的管理体系，</w:t>
            </w:r>
            <w:r>
              <w:rPr>
                <w:rFonts w:ascii="Times New Roman" w:hAnsi="Times New Roman"/>
                <w:color w:val="auto"/>
                <w:lang w:val="zh-CN"/>
              </w:rPr>
              <w:t>公司依据</w:t>
            </w:r>
            <w:r>
              <w:rPr>
                <w:rFonts w:ascii="Times New Roman" w:hAnsi="Times New Roman"/>
                <w:color w:val="auto"/>
              </w:rPr>
              <w:t>GB/T19001-2016</w:t>
            </w:r>
            <w:r>
              <w:rPr>
                <w:rFonts w:ascii="Times New Roman" w:hAnsi="Times New Roman"/>
                <w:color w:val="auto"/>
                <w:lang w:val="zh-CN"/>
              </w:rPr>
              <w:t>《质量管理体系 要求》、</w:t>
            </w:r>
            <w:r>
              <w:rPr>
                <w:rFonts w:ascii="Times New Roman" w:hAnsi="Times New Roman"/>
                <w:color w:val="auto"/>
              </w:rPr>
              <w:t>GB/T24001-2016</w:t>
            </w:r>
            <w:r>
              <w:rPr>
                <w:rFonts w:ascii="Times New Roman" w:hAnsi="Times New Roman"/>
                <w:color w:val="auto"/>
                <w:lang w:val="zh-CN"/>
              </w:rPr>
              <w:t>《</w:t>
            </w:r>
            <w:r>
              <w:rPr>
                <w:rFonts w:ascii="Times New Roman" w:hAnsi="Times New Roman"/>
                <w:color w:val="auto"/>
              </w:rPr>
              <w:t xml:space="preserve">环境管理体系  </w:t>
            </w:r>
            <w:r>
              <w:rPr>
                <w:rFonts w:ascii="Times New Roman" w:hAnsi="Times New Roman"/>
                <w:color w:val="auto"/>
                <w:lang w:val="zh-CN"/>
              </w:rPr>
              <w:t>要求及使用指南》、</w:t>
            </w:r>
            <w:r>
              <w:rPr>
                <w:rFonts w:ascii="Times New Roman" w:hAnsi="Times New Roman"/>
                <w:color w:val="auto"/>
              </w:rPr>
              <w:t>ISO45001-2018《</w:t>
            </w:r>
            <w:r>
              <w:rPr>
                <w:rFonts w:ascii="Times New Roman" w:hAnsi="Times New Roman"/>
                <w:color w:val="auto"/>
                <w:lang w:val="zh-CN"/>
              </w:rPr>
              <w:t>职业健康安全管理体系 要求及使用指南</w:t>
            </w:r>
            <w:r>
              <w:rPr>
                <w:rFonts w:ascii="Times New Roman" w:hAnsi="Times New Roman"/>
                <w:color w:val="auto"/>
              </w:rPr>
              <w:t>》、GB/T50430-2017</w:t>
            </w:r>
            <w:r>
              <w:rPr>
                <w:rFonts w:ascii="Times New Roman" w:hAnsi="Times New Roman"/>
                <w:color w:val="auto"/>
                <w:lang w:val="zh-CN"/>
              </w:rPr>
              <w:t>《工程建设施工企业质量管理规范》</w:t>
            </w:r>
            <w:r>
              <w:rPr>
                <w:rFonts w:ascii="Times New Roman" w:hAnsi="Times New Roman"/>
                <w:color w:val="auto"/>
              </w:rPr>
              <w:t>，发布实施了管理体系文件，包括管理手册、程序文件、管理制度、作业文件、</w:t>
            </w:r>
            <w:r>
              <w:rPr>
                <w:rFonts w:hint="eastAsia"/>
                <w:color w:val="auto"/>
                <w:lang w:val="en-US" w:eastAsia="zh-CN"/>
              </w:rPr>
              <w:t>质量体系运行</w:t>
            </w:r>
            <w:r>
              <w:rPr>
                <w:rFonts w:ascii="Times New Roman" w:hAnsi="Times New Roman"/>
                <w:color w:val="auto"/>
              </w:rPr>
              <w:t>记录等。</w:t>
            </w:r>
          </w:p>
        </w:tc>
        <w:tc>
          <w:tcPr>
            <w:tcW w:w="489" w:type="dxa"/>
            <w:tcBorders>
              <w:bottom w:val="single" w:color="auto" w:sz="4" w:space="0"/>
            </w:tcBorders>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799" w:type="dxa"/>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领导作用和承诺/总则</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领导作用与承诺</w:t>
            </w:r>
          </w:p>
        </w:tc>
        <w:tc>
          <w:tcPr>
            <w:tcW w:w="836" w:type="dxa"/>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4.3.1</w:t>
            </w:r>
          </w:p>
        </w:tc>
        <w:tc>
          <w:tcPr>
            <w:tcW w:w="11585" w:type="dxa"/>
            <w:vAlign w:val="center"/>
          </w:tcPr>
          <w:p>
            <w:pPr>
              <w:ind w:firstLine="420" w:firstLineChars="200"/>
              <w:rPr>
                <w:rFonts w:hint="eastAsia" w:asciiTheme="minorEastAsia" w:hAnsiTheme="minorEastAsia" w:eastAsiaTheme="minorEastAsia" w:cstheme="minorEastAsia"/>
                <w:color w:val="auto"/>
                <w:sz w:val="21"/>
                <w:szCs w:val="21"/>
              </w:rPr>
            </w:pPr>
            <w:r>
              <w:rPr>
                <w:rFonts w:ascii="Times New Roman" w:hAnsi="Times New Roman"/>
                <w:color w:val="auto"/>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制定质量方针；沟通质量方针；环境方针；职业健康安全方针</w:t>
            </w:r>
          </w:p>
          <w:p>
            <w:pPr>
              <w:rPr>
                <w:rFonts w:hint="eastAsia" w:asciiTheme="minorEastAsia" w:hAnsiTheme="minorEastAsia" w:eastAsiaTheme="minorEastAsia" w:cstheme="minorEastAsia"/>
                <w:color w:val="auto"/>
                <w:sz w:val="21"/>
                <w:szCs w:val="21"/>
              </w:rPr>
            </w:pP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w:t>
            </w:r>
          </w:p>
        </w:tc>
        <w:tc>
          <w:tcPr>
            <w:tcW w:w="11585" w:type="dxa"/>
            <w:vAlign w:val="center"/>
          </w:tcPr>
          <w:p>
            <w:pPr>
              <w:ind w:firstLine="420" w:firstLineChars="200"/>
              <w:rPr>
                <w:rFonts w:ascii="Times New Roman" w:hAnsi="Times New Roman"/>
                <w:color w:val="auto"/>
              </w:rPr>
            </w:pPr>
            <w:r>
              <w:rPr>
                <w:rFonts w:ascii="Times New Roman" w:hAnsi="Times New Roman"/>
                <w:color w:val="auto"/>
              </w:rPr>
              <w:t>1.</w:t>
            </w:r>
            <w:r>
              <w:rPr>
                <w:rFonts w:ascii="Times New Roman" w:hAnsi="宋体"/>
                <w:color w:val="auto"/>
              </w:rPr>
              <w:t>管理方针：</w:t>
            </w:r>
            <w:r>
              <w:rPr>
                <w:rFonts w:hint="eastAsia" w:ascii="Times New Roman" w:hAnsi="宋体"/>
                <w:color w:val="auto"/>
                <w:szCs w:val="22"/>
              </w:rPr>
              <w:t>科学管理、精心施工，创建优质工程；</w:t>
            </w:r>
            <w:r>
              <w:rPr>
                <w:rFonts w:hint="eastAsia" w:ascii="MS Mincho" w:hAnsi="MS Mincho" w:eastAsia="MS Mincho" w:cs="MS Mincho"/>
                <w:color w:val="auto"/>
                <w:szCs w:val="22"/>
              </w:rPr>
              <w:t> </w:t>
            </w:r>
            <w:r>
              <w:rPr>
                <w:rFonts w:hint="eastAsia" w:ascii="Times New Roman" w:hAnsi="宋体"/>
                <w:color w:val="auto"/>
                <w:szCs w:val="22"/>
              </w:rPr>
              <w:t>遵纪守法、注重环保，实现健康安全；以人为本、持续改进，满足顾客要求。</w:t>
            </w:r>
          </w:p>
          <w:p>
            <w:pPr>
              <w:spacing w:line="320" w:lineRule="exact"/>
              <w:rPr>
                <w:rFonts w:ascii="Times New Roman" w:hAnsi="Times New Roman"/>
                <w:color w:val="auto"/>
              </w:rPr>
            </w:pPr>
            <w:r>
              <w:rPr>
                <w:rFonts w:ascii="Times New Roman" w:hAnsi="Times New Roman"/>
                <w:color w:val="auto"/>
              </w:rPr>
              <w:t xml:space="preserve">2. </w:t>
            </w:r>
            <w:r>
              <w:rPr>
                <w:rFonts w:ascii="Times New Roman" w:hAnsi="宋体"/>
                <w:color w:val="auto"/>
              </w:rPr>
              <w:t>管理方针与企业的经营宗旨相适应，协调；</w:t>
            </w:r>
          </w:p>
          <w:p>
            <w:pPr>
              <w:rPr>
                <w:rFonts w:ascii="Times New Roman" w:hAnsi="宋体"/>
                <w:color w:val="auto"/>
              </w:rPr>
            </w:pPr>
            <w:r>
              <w:rPr>
                <w:rFonts w:ascii="Times New Roman" w:hAnsi="Times New Roman"/>
                <w:color w:val="auto"/>
              </w:rPr>
              <w:t xml:space="preserve">3. </w:t>
            </w:r>
            <w:r>
              <w:rPr>
                <w:rFonts w:ascii="Times New Roman" w:hAnsi="宋体"/>
                <w:color w:val="auto"/>
              </w:rPr>
              <w:t>通过会议传达，沟通，让全体员工理解执行。并定期进行评审（一般一年一次）。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经评价，管理方针适应其宗旨和环境并支持其长远战略方向；为制定管理目标提供框架；包括满足适用要求的承诺和持续改进质量管理体系的承诺。方针基本能够满足标准的要求。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组织内的角色、职责和权限；资源、作用、职责、责任和权限</w:t>
            </w: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11585" w:type="dxa"/>
            <w:vAlign w:val="center"/>
          </w:tcPr>
          <w:p>
            <w:pPr>
              <w:spacing w:line="320" w:lineRule="exact"/>
              <w:ind w:firstLine="420" w:firstLineChars="200"/>
              <w:rPr>
                <w:rFonts w:ascii="Times New Roman" w:hAnsi="Times New Roman"/>
                <w:color w:val="auto"/>
              </w:rPr>
            </w:pPr>
            <w:r>
              <w:rPr>
                <w:rFonts w:ascii="Times New Roman" w:hAnsi="宋体"/>
                <w:color w:val="auto"/>
              </w:rPr>
              <w:t>公司管理体系覆盖部门包括：</w:t>
            </w:r>
            <w:r>
              <w:rPr>
                <w:rFonts w:hint="eastAsia" w:hAnsi="宋体"/>
                <w:color w:val="auto"/>
                <w:lang w:val="en-US" w:eastAsia="zh-CN"/>
              </w:rPr>
              <w:t>综合</w:t>
            </w:r>
            <w:r>
              <w:rPr>
                <w:rFonts w:ascii="Times New Roman" w:hAnsi="宋体"/>
                <w:color w:val="auto"/>
              </w:rPr>
              <w:t>部</w:t>
            </w:r>
            <w:r>
              <w:rPr>
                <w:rFonts w:ascii="Times New Roman" w:hAnsi="宋体"/>
                <w:color w:val="auto"/>
                <w:lang w:val="zh-CN"/>
              </w:rPr>
              <w:t>、</w:t>
            </w:r>
            <w:r>
              <w:rPr>
                <w:rFonts w:hint="eastAsia" w:hAnsi="宋体"/>
                <w:color w:val="auto"/>
                <w:lang w:val="en-US" w:eastAsia="zh-CN"/>
              </w:rPr>
              <w:t>经营部、质安</w:t>
            </w:r>
            <w:r>
              <w:rPr>
                <w:rFonts w:ascii="Times New Roman" w:hAnsi="宋体"/>
                <w:color w:val="auto"/>
                <w:lang w:val="zh-CN"/>
              </w:rPr>
              <w:t>部、</w:t>
            </w:r>
            <w:r>
              <w:rPr>
                <w:rFonts w:ascii="Times New Roman" w:hAnsi="宋体"/>
                <w:color w:val="auto"/>
              </w:rPr>
              <w:t>工程部、财务部，项目部属于工程部管理；部门划分尚可。</w:t>
            </w:r>
          </w:p>
          <w:p>
            <w:pPr>
              <w:spacing w:line="320" w:lineRule="exact"/>
              <w:rPr>
                <w:rFonts w:hint="eastAsia" w:asciiTheme="minorEastAsia" w:hAnsiTheme="minorEastAsia" w:eastAsiaTheme="minorEastAsia" w:cstheme="minorEastAsia"/>
                <w:color w:val="auto"/>
                <w:sz w:val="21"/>
                <w:szCs w:val="21"/>
              </w:rPr>
            </w:pPr>
            <w:r>
              <w:rPr>
                <w:rFonts w:ascii="Times New Roman" w:hAnsi="宋体"/>
                <w:color w:val="auto"/>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489" w:type="dxa"/>
            <w:vAlign w:val="top"/>
          </w:tcPr>
          <w:p>
            <w:pPr>
              <w:spacing w:line="320" w:lineRule="exact"/>
              <w:rPr>
                <w:rFonts w:hint="eastAsia" w:asciiTheme="minorEastAsia" w:hAnsiTheme="minorEastAsia" w:eastAsiaTheme="minorEastAsia" w:cstheme="minorEastAsia"/>
                <w:color w:val="auto"/>
                <w:sz w:val="21"/>
                <w:szCs w:val="21"/>
              </w:rPr>
            </w:pPr>
            <w:r>
              <w:rPr>
                <w:rFonts w:ascii="Times New Roman" w:hAnsi="Times New Roman"/>
                <w:color w:val="auto"/>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应对风险和机遇的措施</w:t>
            </w: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3.3.3</w:t>
            </w:r>
          </w:p>
        </w:tc>
        <w:tc>
          <w:tcPr>
            <w:tcW w:w="11585"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lang w:val="en-US" w:eastAsia="zh-CN"/>
              </w:rPr>
              <w:t>李</w:t>
            </w:r>
            <w:r>
              <w:rPr>
                <w:rFonts w:hint="eastAsia" w:asciiTheme="minorEastAsia" w:hAnsiTheme="minorEastAsia" w:eastAsiaTheme="minorEastAsia" w:cstheme="minorEastAsia"/>
                <w:color w:val="auto"/>
                <w:sz w:val="21"/>
                <w:szCs w:val="21"/>
              </w:rPr>
              <w:t>经理介绍：在策划管理体系时，领导层考虑了公司运行Q（J）标准所处的环境，包括上述4.1识别的内外部环境。手册里有对风险和机遇应对控制的要求。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公司面临的风险和机遇主要是：国内经济转型升级、疫情和政治因素导致的市场低迷，回款困难， 人工成本增加，客户要求提高，以及行业良莠不齐、不良竞争、成本增设等严重影响行业发展。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简单介绍了公司为了应对现阶段的风险和机遇所采取措施等，记录如下：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严把工程质量关，加强与顾客的沟通联系，以稳定现有的市场份额；</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加强与建筑材料供应商的联系，建立长期合作关系，及时掌握建材价格信息，以降低公司建材采购成本；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基本符合要求。</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质量目标及其实现的策划；</w:t>
            </w: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3.2.4</w:t>
            </w:r>
          </w:p>
          <w:p>
            <w:pPr>
              <w:rPr>
                <w:rFonts w:hint="eastAsia" w:asciiTheme="minorEastAsia" w:hAnsiTheme="minorEastAsia" w:eastAsiaTheme="minorEastAsia" w:cstheme="minorEastAsia"/>
                <w:color w:val="auto"/>
                <w:sz w:val="21"/>
                <w:szCs w:val="21"/>
              </w:rPr>
            </w:pPr>
          </w:p>
        </w:tc>
        <w:tc>
          <w:tcPr>
            <w:tcW w:w="11585"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查《管理手册》收录了公司的管理目标：</w:t>
            </w:r>
          </w:p>
          <w:tbl>
            <w:tblPr>
              <w:tblStyle w:val="13"/>
              <w:tblW w:w="873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660"/>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tabs>
                      <w:tab w:val="left" w:pos="1815"/>
                      <w:tab w:val="left" w:pos="2820"/>
                    </w:tabs>
                    <w:spacing w:line="360" w:lineRule="auto"/>
                    <w:rPr>
                      <w:color w:val="auto"/>
                      <w:szCs w:val="21"/>
                    </w:rPr>
                  </w:pPr>
                </w:p>
              </w:tc>
              <w:tc>
                <w:tcPr>
                  <w:tcW w:w="3660" w:type="dxa"/>
                  <w:vAlign w:val="center"/>
                </w:tcPr>
                <w:p>
                  <w:pPr>
                    <w:tabs>
                      <w:tab w:val="left" w:pos="1815"/>
                      <w:tab w:val="left" w:pos="2820"/>
                    </w:tabs>
                    <w:spacing w:line="360" w:lineRule="auto"/>
                    <w:jc w:val="center"/>
                    <w:rPr>
                      <w:color w:val="auto"/>
                      <w:szCs w:val="21"/>
                    </w:rPr>
                  </w:pPr>
                  <w:r>
                    <w:rPr>
                      <w:rFonts w:hint="eastAsia"/>
                      <w:color w:val="auto"/>
                      <w:szCs w:val="21"/>
                    </w:rPr>
                    <w:t>目标</w:t>
                  </w:r>
                </w:p>
              </w:tc>
              <w:tc>
                <w:tcPr>
                  <w:tcW w:w="4214" w:type="dxa"/>
                  <w:vAlign w:val="center"/>
                </w:tcPr>
                <w:p>
                  <w:pPr>
                    <w:tabs>
                      <w:tab w:val="left" w:pos="1815"/>
                      <w:tab w:val="left" w:pos="2820"/>
                    </w:tabs>
                    <w:spacing w:line="360" w:lineRule="auto"/>
                    <w:jc w:val="center"/>
                    <w:rPr>
                      <w:color w:val="auto"/>
                      <w:szCs w:val="21"/>
                    </w:rPr>
                  </w:pPr>
                  <w:r>
                    <w:rPr>
                      <w:rFonts w:hint="eastAsia"/>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860" w:type="dxa"/>
                  <w:vMerge w:val="restart"/>
                  <w:vAlign w:val="center"/>
                </w:tcPr>
                <w:p>
                  <w:pPr>
                    <w:tabs>
                      <w:tab w:val="left" w:pos="1815"/>
                      <w:tab w:val="left" w:pos="2820"/>
                    </w:tabs>
                    <w:spacing w:line="360" w:lineRule="auto"/>
                    <w:jc w:val="center"/>
                    <w:rPr>
                      <w:color w:val="auto"/>
                      <w:szCs w:val="21"/>
                    </w:rPr>
                  </w:pPr>
                  <w:r>
                    <w:rPr>
                      <w:rFonts w:hint="eastAsia"/>
                      <w:color w:val="auto"/>
                      <w:szCs w:val="21"/>
                    </w:rPr>
                    <w:t>质量</w:t>
                  </w: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单项工程一次交验合格率100%</w:t>
                  </w:r>
                </w:p>
              </w:tc>
              <w:tc>
                <w:tcPr>
                  <w:tcW w:w="4214" w:type="dxa"/>
                </w:tcPr>
                <w:p>
                  <w:pPr>
                    <w:tabs>
                      <w:tab w:val="left" w:pos="1815"/>
                      <w:tab w:val="left" w:pos="2820"/>
                    </w:tabs>
                    <w:spacing w:line="360" w:lineRule="auto"/>
                    <w:rPr>
                      <w:color w:val="auto"/>
                      <w:szCs w:val="21"/>
                    </w:rPr>
                  </w:pPr>
                  <w:r>
                    <w:rPr>
                      <w:rFonts w:hint="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tabs>
                      <w:tab w:val="left" w:pos="1815"/>
                      <w:tab w:val="left" w:pos="2820"/>
                    </w:tabs>
                    <w:spacing w:line="360" w:lineRule="auto"/>
                    <w:rPr>
                      <w:color w:val="auto"/>
                      <w:szCs w:val="21"/>
                    </w:rPr>
                  </w:pP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顾客满意率</w:t>
                  </w:r>
                  <w:r>
                    <w:rPr>
                      <w:rFonts w:hint="eastAsia" w:ascii="仿宋_GB2312" w:hAnsi="宋体"/>
                      <w:color w:val="auto"/>
                      <w:sz w:val="24"/>
                    </w:rPr>
                    <w:t>≥95%</w:t>
                  </w:r>
                </w:p>
              </w:tc>
              <w:tc>
                <w:tcPr>
                  <w:tcW w:w="4214" w:type="dxa"/>
                </w:tcPr>
                <w:p>
                  <w:pPr>
                    <w:tabs>
                      <w:tab w:val="left" w:pos="1815"/>
                      <w:tab w:val="left" w:pos="2820"/>
                    </w:tabs>
                    <w:spacing w:line="360" w:lineRule="auto"/>
                    <w:rPr>
                      <w:color w:val="auto"/>
                      <w:szCs w:val="21"/>
                    </w:rPr>
                  </w:pPr>
                  <w:r>
                    <w:rPr>
                      <w:rFonts w:hint="eastAsia" w:ascii="仿宋_GB2312" w:hAnsi="宋体"/>
                      <w:color w:val="auto"/>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vAlign w:val="center"/>
                </w:tcPr>
                <w:p>
                  <w:pPr>
                    <w:tabs>
                      <w:tab w:val="left" w:pos="1815"/>
                      <w:tab w:val="left" w:pos="2820"/>
                    </w:tabs>
                    <w:spacing w:line="360" w:lineRule="auto"/>
                    <w:jc w:val="center"/>
                    <w:rPr>
                      <w:color w:val="auto"/>
                      <w:szCs w:val="21"/>
                    </w:rPr>
                  </w:pPr>
                  <w:r>
                    <w:rPr>
                      <w:rFonts w:hint="eastAsia"/>
                      <w:color w:val="auto"/>
                      <w:szCs w:val="21"/>
                    </w:rPr>
                    <w:t>环境</w:t>
                  </w: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施工噪声:投诉率为0</w:t>
                  </w:r>
                </w:p>
              </w:tc>
              <w:tc>
                <w:tcPr>
                  <w:tcW w:w="4214" w:type="dxa"/>
                </w:tcPr>
                <w:p>
                  <w:pPr>
                    <w:tabs>
                      <w:tab w:val="left" w:pos="1815"/>
                      <w:tab w:val="left" w:pos="2820"/>
                    </w:tabs>
                    <w:spacing w:line="360" w:lineRule="auto"/>
                    <w:rPr>
                      <w:color w:val="auto"/>
                      <w:szCs w:val="21"/>
                    </w:rPr>
                  </w:pPr>
                  <w:r>
                    <w:rPr>
                      <w:rFonts w:hint="eastAsia"/>
                      <w:color w:val="auto"/>
                      <w:szCs w:val="21"/>
                    </w:rPr>
                    <w:t>实现全年无投诉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60" w:type="dxa"/>
                  <w:vMerge w:val="continue"/>
                </w:tcPr>
                <w:p>
                  <w:pPr>
                    <w:tabs>
                      <w:tab w:val="left" w:pos="1815"/>
                      <w:tab w:val="left" w:pos="2820"/>
                    </w:tabs>
                    <w:spacing w:line="360" w:lineRule="auto"/>
                    <w:rPr>
                      <w:color w:val="auto"/>
                      <w:szCs w:val="21"/>
                    </w:rPr>
                  </w:pP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固体废弃物分类处置率100%</w:t>
                  </w:r>
                </w:p>
              </w:tc>
              <w:tc>
                <w:tcPr>
                  <w:tcW w:w="4214" w:type="dxa"/>
                </w:tcPr>
                <w:p>
                  <w:pPr>
                    <w:tabs>
                      <w:tab w:val="left" w:pos="1815"/>
                      <w:tab w:val="left" w:pos="2820"/>
                    </w:tabs>
                    <w:spacing w:line="360" w:lineRule="auto"/>
                    <w:rPr>
                      <w:color w:val="auto"/>
                      <w:szCs w:val="21"/>
                    </w:rPr>
                  </w:pPr>
                  <w:r>
                    <w:rPr>
                      <w:rFonts w:hint="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tabs>
                      <w:tab w:val="left" w:pos="1815"/>
                      <w:tab w:val="left" w:pos="2820"/>
                    </w:tabs>
                    <w:spacing w:line="360" w:lineRule="auto"/>
                    <w:ind w:left="113" w:right="113"/>
                    <w:jc w:val="center"/>
                    <w:rPr>
                      <w:color w:val="auto"/>
                      <w:szCs w:val="21"/>
                    </w:rPr>
                  </w:pPr>
                  <w:r>
                    <w:rPr>
                      <w:rFonts w:hint="eastAsia"/>
                      <w:color w:val="auto"/>
                      <w:szCs w:val="21"/>
                    </w:rPr>
                    <w:t>职业健康安全</w:t>
                  </w: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火灾、触电事故为零</w:t>
                  </w:r>
                </w:p>
              </w:tc>
              <w:tc>
                <w:tcPr>
                  <w:tcW w:w="4214" w:type="dxa"/>
                </w:tcPr>
                <w:p>
                  <w:pPr>
                    <w:tabs>
                      <w:tab w:val="left" w:pos="1815"/>
                      <w:tab w:val="left" w:pos="2820"/>
                    </w:tabs>
                    <w:spacing w:line="360" w:lineRule="auto"/>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tabs>
                      <w:tab w:val="left" w:pos="1815"/>
                      <w:tab w:val="left" w:pos="2820"/>
                    </w:tabs>
                    <w:spacing w:line="360" w:lineRule="auto"/>
                    <w:rPr>
                      <w:color w:val="auto"/>
                      <w:szCs w:val="21"/>
                    </w:rPr>
                  </w:pPr>
                </w:p>
              </w:tc>
              <w:tc>
                <w:tcPr>
                  <w:tcW w:w="3660" w:type="dxa"/>
                  <w:vAlign w:val="center"/>
                </w:tcPr>
                <w:p>
                  <w:pPr>
                    <w:tabs>
                      <w:tab w:val="left" w:pos="1815"/>
                      <w:tab w:val="left" w:pos="2820"/>
                    </w:tabs>
                    <w:spacing w:line="360" w:lineRule="auto"/>
                    <w:jc w:val="left"/>
                    <w:rPr>
                      <w:color w:val="auto"/>
                      <w:szCs w:val="21"/>
                    </w:rPr>
                  </w:pPr>
                  <w:r>
                    <w:rPr>
                      <w:rFonts w:hint="eastAsia"/>
                      <w:color w:val="auto"/>
                      <w:szCs w:val="21"/>
                    </w:rPr>
                    <w:t>重伤率不超过0.6‰，轻伤人数单位工程控制在2‰以内</w:t>
                  </w:r>
                </w:p>
              </w:tc>
              <w:tc>
                <w:tcPr>
                  <w:tcW w:w="4214" w:type="dxa"/>
                </w:tcPr>
                <w:p>
                  <w:pPr>
                    <w:tabs>
                      <w:tab w:val="left" w:pos="1815"/>
                      <w:tab w:val="left" w:pos="2820"/>
                    </w:tabs>
                    <w:spacing w:line="360" w:lineRule="auto"/>
                    <w:rPr>
                      <w:color w:val="auto"/>
                      <w:szCs w:val="21"/>
                    </w:rPr>
                  </w:pPr>
                  <w:r>
                    <w:rPr>
                      <w:rFonts w:hint="eastAsia"/>
                      <w:color w:val="auto"/>
                      <w:szCs w:val="21"/>
                    </w:rPr>
                    <w:t>0</w:t>
                  </w:r>
                </w:p>
              </w:tc>
            </w:tr>
          </w:tbl>
          <w:p>
            <w:pPr>
              <w:numPr>
                <w:ilvl w:val="0"/>
                <w:numId w:val="0"/>
              </w:numPr>
              <w:spacing w:line="340" w:lineRule="exact"/>
              <w:ind w:left="420" w:leftChars="0"/>
              <w:rPr>
                <w:rFonts w:hint="eastAsia" w:asciiTheme="minorEastAsia" w:hAnsiTheme="minorEastAsia" w:eastAsiaTheme="minorEastAsia" w:cstheme="minorEastAsia"/>
                <w:color w:val="auto"/>
                <w:sz w:val="21"/>
                <w:szCs w:val="21"/>
              </w:rPr>
            </w:pP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目标与管理方针和持续改进的承诺相一致；具有可测量性；考虑了公司内外部及相关的要求，产品和服务的符合性，以及增强顾客满意的相关内容；基本符合标准要求。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公司在各个部门及在建工程项目部建立目标，并确保目标与总目标及过程分配的职责基本一致。</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对目标实施情况的考核，由体系的归口管理部门办公室、工程部来完成，目前来看，目标基本实现，详见体系归口管理部门及各相关部门的审核证实。</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提供有《目标完成情况分析》收录了公司及各部门目标、考核评率及完成情况。</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基本符合要求。</w:t>
            </w:r>
          </w:p>
        </w:tc>
        <w:tc>
          <w:tcPr>
            <w:tcW w:w="489"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变更的策划</w:t>
            </w: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3.3.5</w:t>
            </w:r>
          </w:p>
        </w:tc>
        <w:tc>
          <w:tcPr>
            <w:tcW w:w="11585" w:type="dxa"/>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 xml:space="preserve">查《管理手册》中规定当组织确定需要对管理体系进行变更时，此种变更应经策划并系统地实施（见4.4）。 组织应考虑到：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a）变更目的及其潜在后果；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b）质量管理体系的完整性；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c）资源的可获得性；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d）责任和权限的分配或再分配。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负责人介绍：目前暂无变更情况发生；如今后发生变更情况则执行相关的变更控制文件。</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基本符合要求。</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监视、测量、分析和评价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总则</w:t>
            </w:r>
          </w:p>
          <w:p>
            <w:pPr>
              <w:rPr>
                <w:rFonts w:hint="eastAsia" w:asciiTheme="minorEastAsia" w:hAnsiTheme="minorEastAsia" w:eastAsiaTheme="minorEastAsia" w:cstheme="minorEastAsia"/>
                <w:color w:val="auto"/>
                <w:sz w:val="21"/>
                <w:szCs w:val="21"/>
              </w:rPr>
            </w:pP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J3.4</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p>
        </w:tc>
        <w:tc>
          <w:tcPr>
            <w:tcW w:w="11585" w:type="dxa"/>
            <w:vAlign w:val="center"/>
          </w:tcPr>
          <w:p>
            <w:pPr>
              <w:spacing w:line="320" w:lineRule="exact"/>
              <w:ind w:firstLine="420" w:firstLineChars="200"/>
              <w:rPr>
                <w:rFonts w:ascii="Times New Roman" w:hAnsi="Times New Roman"/>
                <w:color w:val="auto"/>
              </w:rPr>
            </w:pPr>
            <w:r>
              <w:rPr>
                <w:rFonts w:ascii="Times New Roman" w:hAnsi="Times New Roman"/>
                <w:color w:val="auto"/>
              </w:rPr>
              <w:t>组织策划了对绩效的监视和测量，对绩效的分析和评价，对事项进行汇报的程序等。保留了必要的记录文件。</w:t>
            </w:r>
          </w:p>
          <w:p>
            <w:pPr>
              <w:rPr>
                <w:rFonts w:hint="eastAsia" w:asciiTheme="minorEastAsia" w:hAnsiTheme="minorEastAsia" w:eastAsiaTheme="minorEastAsia" w:cstheme="minorEastAsia"/>
                <w:color w:val="auto"/>
                <w:sz w:val="21"/>
                <w:szCs w:val="21"/>
              </w:rPr>
            </w:pPr>
            <w:r>
              <w:rPr>
                <w:rFonts w:ascii="Times New Roman" w:hAnsi="Times New Roman"/>
                <w:color w:val="auto"/>
              </w:rPr>
              <w:t>公司通过管理评审和内部审核，以及定期的目标考核，对发现的问题采取纠正和必要的纠正措施，确保管理体系绩效和有效性。</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w:t>
            </w: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12.4</w:t>
            </w:r>
          </w:p>
        </w:tc>
        <w:tc>
          <w:tcPr>
            <w:tcW w:w="11585" w:type="dxa"/>
            <w:vAlign w:val="center"/>
          </w:tcPr>
          <w:p>
            <w:pPr>
              <w:spacing w:line="320" w:lineRule="exact"/>
              <w:ind w:firstLine="420" w:firstLineChars="200"/>
              <w:rPr>
                <w:rFonts w:ascii="Times New Roman" w:hAnsi="Times New Roman"/>
                <w:color w:val="auto"/>
              </w:rPr>
            </w:pPr>
            <w:r>
              <w:rPr>
                <w:rFonts w:ascii="Times New Roman" w:hAnsi="宋体"/>
                <w:color w:val="auto"/>
              </w:rPr>
              <w:t>制定并执行《管理评审控制程序》：一年至少要进行一次管理评审，由总经理主持。特殊情况下，可增加管理评审频次。</w:t>
            </w:r>
          </w:p>
          <w:p>
            <w:pPr>
              <w:spacing w:line="320" w:lineRule="exact"/>
              <w:rPr>
                <w:rFonts w:ascii="Times New Roman" w:hAnsi="Times New Roman"/>
                <w:color w:val="auto"/>
              </w:rPr>
            </w:pPr>
            <w:r>
              <w:rPr>
                <w:rFonts w:ascii="Times New Roman" w:hAnsi="宋体"/>
                <w:color w:val="auto"/>
              </w:rPr>
              <w:t>查管理评审的计划：管理评审的时间：</w:t>
            </w:r>
            <w:r>
              <w:rPr>
                <w:rFonts w:ascii="Times New Roman" w:hAnsi="Times New Roman"/>
                <w:color w:val="auto"/>
              </w:rPr>
              <w:t>202</w:t>
            </w:r>
            <w:r>
              <w:rPr>
                <w:rFonts w:hint="eastAsia"/>
                <w:color w:val="auto"/>
                <w:lang w:val="en-US" w:eastAsia="zh-CN"/>
              </w:rPr>
              <w:t>1</w:t>
            </w:r>
            <w:r>
              <w:rPr>
                <w:rFonts w:ascii="Times New Roman" w:hAnsi="宋体"/>
                <w:color w:val="auto"/>
              </w:rPr>
              <w:t>年</w:t>
            </w:r>
            <w:r>
              <w:rPr>
                <w:rFonts w:hint="eastAsia" w:ascii="Times New Roman" w:hAnsi="Times New Roman"/>
                <w:color w:val="auto"/>
              </w:rPr>
              <w:t>8</w:t>
            </w:r>
            <w:r>
              <w:rPr>
                <w:rFonts w:ascii="Times New Roman" w:hAnsi="宋体"/>
                <w:color w:val="auto"/>
              </w:rPr>
              <w:t>月</w:t>
            </w:r>
            <w:r>
              <w:rPr>
                <w:rFonts w:hint="eastAsia"/>
                <w:color w:val="auto"/>
                <w:lang w:val="en-US" w:eastAsia="zh-CN"/>
              </w:rPr>
              <w:t>5</w:t>
            </w:r>
            <w:r>
              <w:rPr>
                <w:rFonts w:ascii="Times New Roman" w:hAnsi="宋体"/>
                <w:color w:val="auto"/>
              </w:rPr>
              <w:t>日</w:t>
            </w:r>
          </w:p>
          <w:p>
            <w:pPr>
              <w:spacing w:line="320" w:lineRule="exact"/>
              <w:rPr>
                <w:rFonts w:ascii="Times New Roman" w:hAnsi="Times New Roman"/>
                <w:color w:val="auto"/>
              </w:rPr>
            </w:pPr>
            <w:r>
              <w:rPr>
                <w:rFonts w:ascii="Times New Roman" w:hAnsi="宋体"/>
                <w:color w:val="auto"/>
              </w:rPr>
              <w:t>主持人：总经理</w:t>
            </w:r>
            <w:r>
              <w:rPr>
                <w:rFonts w:ascii="Times New Roman" w:hAnsi="Times New Roman"/>
                <w:color w:val="auto"/>
              </w:rPr>
              <w:t xml:space="preserve">    </w:t>
            </w:r>
            <w:r>
              <w:rPr>
                <w:rFonts w:ascii="Times New Roman" w:hAnsi="宋体"/>
                <w:color w:val="auto"/>
              </w:rPr>
              <w:t>参加人：领导层、各部门负责人</w:t>
            </w:r>
            <w:r>
              <w:rPr>
                <w:rFonts w:ascii="Times New Roman" w:hAnsi="Times New Roman"/>
                <w:color w:val="auto"/>
              </w:rPr>
              <w:t xml:space="preserve"> </w:t>
            </w:r>
          </w:p>
          <w:p>
            <w:pPr>
              <w:spacing w:line="320" w:lineRule="exact"/>
              <w:rPr>
                <w:rFonts w:ascii="Times New Roman" w:hAnsi="Times New Roman"/>
                <w:color w:val="auto"/>
              </w:rPr>
            </w:pPr>
            <w:r>
              <w:rPr>
                <w:rFonts w:ascii="Times New Roman" w:hAnsi="宋体"/>
                <w:color w:val="auto"/>
              </w:rPr>
              <w:t>要求每个部门需提交的管理评审输入内容包含了标准条款的要求。时间安排符合程序文件的要求。</w:t>
            </w:r>
          </w:p>
          <w:p>
            <w:pPr>
              <w:spacing w:line="320" w:lineRule="exact"/>
              <w:ind w:firstLine="420" w:firstLineChars="200"/>
              <w:rPr>
                <w:rFonts w:ascii="Times New Roman" w:hAnsi="Times New Roman"/>
                <w:color w:val="auto"/>
              </w:rPr>
            </w:pPr>
            <w:r>
              <w:rPr>
                <w:rFonts w:ascii="Times New Roman" w:hAnsi="宋体"/>
                <w:color w:val="auto"/>
              </w:rPr>
              <w:t>查看管理评审输入的资料：</w:t>
            </w:r>
          </w:p>
          <w:p>
            <w:pPr>
              <w:spacing w:line="320" w:lineRule="exact"/>
              <w:rPr>
                <w:rFonts w:ascii="Times New Roman" w:hAnsi="Times New Roman"/>
                <w:color w:val="auto"/>
              </w:rPr>
            </w:pPr>
            <w:r>
              <w:rPr>
                <w:rFonts w:ascii="Times New Roman" w:hAnsi="Times New Roman"/>
                <w:color w:val="auto"/>
              </w:rPr>
              <w:t>a.</w:t>
            </w:r>
            <w:r>
              <w:rPr>
                <w:rFonts w:ascii="Times New Roman" w:hAnsi="宋体"/>
                <w:color w:val="auto"/>
              </w:rPr>
              <w:t>管理体系审核结果以及合规性评价的结果；</w:t>
            </w:r>
          </w:p>
          <w:p>
            <w:pPr>
              <w:spacing w:line="320" w:lineRule="exact"/>
              <w:rPr>
                <w:rFonts w:ascii="Times New Roman" w:hAnsi="Times New Roman"/>
                <w:color w:val="auto"/>
              </w:rPr>
            </w:pPr>
            <w:r>
              <w:rPr>
                <w:rFonts w:ascii="Times New Roman" w:hAnsi="Times New Roman"/>
                <w:color w:val="auto"/>
              </w:rPr>
              <w:t>b.</w:t>
            </w:r>
            <w:r>
              <w:rPr>
                <w:rFonts w:ascii="Times New Roman" w:hAnsi="宋体"/>
                <w:color w:val="auto"/>
              </w:rPr>
              <w:t>顾客投诉的处理，顾客的满意度测量结果及反馈的重要信息，以及来自外部其他相关方的信息，包括相关方的抱怨。</w:t>
            </w:r>
          </w:p>
          <w:p>
            <w:pPr>
              <w:spacing w:line="320" w:lineRule="exact"/>
              <w:rPr>
                <w:rFonts w:ascii="Times New Roman" w:hAnsi="Times New Roman"/>
                <w:color w:val="auto"/>
              </w:rPr>
            </w:pPr>
            <w:r>
              <w:rPr>
                <w:rFonts w:ascii="Times New Roman" w:hAnsi="Times New Roman"/>
                <w:color w:val="auto"/>
              </w:rPr>
              <w:t>c.</w:t>
            </w:r>
            <w:r>
              <w:rPr>
                <w:rFonts w:ascii="Times New Roman" w:hAnsi="宋体"/>
                <w:color w:val="auto"/>
              </w:rPr>
              <w:t>重大质量、环境、安全事故的处理，过程及产品质量趋势；</w:t>
            </w:r>
          </w:p>
          <w:p>
            <w:pPr>
              <w:spacing w:line="320" w:lineRule="exact"/>
              <w:rPr>
                <w:rFonts w:ascii="Times New Roman" w:hAnsi="Times New Roman"/>
                <w:color w:val="auto"/>
              </w:rPr>
            </w:pPr>
            <w:r>
              <w:rPr>
                <w:rFonts w:ascii="Times New Roman" w:hAnsi="Times New Roman"/>
                <w:color w:val="auto"/>
              </w:rPr>
              <w:t>d.</w:t>
            </w:r>
            <w:r>
              <w:rPr>
                <w:rFonts w:ascii="Times New Roman" w:hAnsi="宋体"/>
                <w:color w:val="auto"/>
              </w:rPr>
              <w:t>管理体系运行状况，包括管理方针和目标以及实现程度。</w:t>
            </w:r>
          </w:p>
          <w:p>
            <w:pPr>
              <w:spacing w:line="320" w:lineRule="exact"/>
              <w:rPr>
                <w:rFonts w:ascii="Times New Roman" w:hAnsi="Times New Roman"/>
                <w:color w:val="auto"/>
              </w:rPr>
            </w:pPr>
            <w:r>
              <w:rPr>
                <w:rFonts w:ascii="Times New Roman" w:hAnsi="Times New Roman"/>
                <w:color w:val="auto"/>
              </w:rPr>
              <w:t>e.</w:t>
            </w:r>
            <w:r>
              <w:rPr>
                <w:rFonts w:ascii="Times New Roman" w:hAnsi="宋体"/>
                <w:color w:val="auto"/>
              </w:rPr>
              <w:t>环境管理体系运行绩效。</w:t>
            </w:r>
          </w:p>
          <w:p>
            <w:pPr>
              <w:spacing w:line="320" w:lineRule="exact"/>
              <w:rPr>
                <w:rFonts w:ascii="Times New Roman" w:hAnsi="Times New Roman"/>
                <w:color w:val="auto"/>
              </w:rPr>
            </w:pPr>
            <w:r>
              <w:rPr>
                <w:rFonts w:ascii="Times New Roman" w:hAnsi="Times New Roman"/>
                <w:color w:val="auto"/>
              </w:rPr>
              <w:t>f.</w:t>
            </w:r>
            <w:r>
              <w:rPr>
                <w:rFonts w:ascii="Times New Roman" w:hAnsi="宋体"/>
                <w:color w:val="auto"/>
              </w:rPr>
              <w:t>纠正预防和改进措施的实施情况。</w:t>
            </w:r>
          </w:p>
          <w:p>
            <w:pPr>
              <w:spacing w:line="320" w:lineRule="exact"/>
              <w:rPr>
                <w:rFonts w:ascii="Times New Roman" w:hAnsi="Times New Roman"/>
                <w:color w:val="auto"/>
              </w:rPr>
            </w:pPr>
            <w:r>
              <w:rPr>
                <w:rFonts w:ascii="Times New Roman" w:hAnsi="Times New Roman"/>
                <w:color w:val="auto"/>
              </w:rPr>
              <w:t>g.</w:t>
            </w:r>
            <w:r>
              <w:rPr>
                <w:rFonts w:ascii="Times New Roman" w:hAnsi="宋体"/>
                <w:color w:val="auto"/>
              </w:rPr>
              <w:t>可能影响管理体系的变更（如公司组织结构、产品结构、资源发生的重大改变和调整；相关法律法规、标准及其他要求发生变更。）</w:t>
            </w:r>
          </w:p>
          <w:p>
            <w:pPr>
              <w:spacing w:line="320" w:lineRule="exact"/>
              <w:rPr>
                <w:rFonts w:ascii="Times New Roman" w:hAnsi="Times New Roman"/>
                <w:color w:val="auto"/>
              </w:rPr>
            </w:pPr>
            <w:r>
              <w:rPr>
                <w:rFonts w:ascii="Times New Roman" w:hAnsi="Times New Roman"/>
                <w:color w:val="auto"/>
              </w:rPr>
              <w:t>h.</w:t>
            </w:r>
            <w:r>
              <w:rPr>
                <w:rFonts w:ascii="Times New Roman" w:hAnsi="宋体"/>
                <w:color w:val="auto"/>
              </w:rPr>
              <w:t>员工的合理化改进建议。</w:t>
            </w:r>
          </w:p>
          <w:p>
            <w:pPr>
              <w:spacing w:line="320" w:lineRule="exact"/>
              <w:ind w:firstLine="420" w:firstLineChars="200"/>
              <w:rPr>
                <w:rFonts w:ascii="Times New Roman" w:hAnsi="Times New Roman"/>
                <w:color w:val="auto"/>
              </w:rPr>
            </w:pPr>
            <w:r>
              <w:rPr>
                <w:rFonts w:ascii="Times New Roman" w:hAnsi="宋体"/>
                <w:color w:val="auto"/>
              </w:rPr>
              <w:t>输入内容基本符合标准要求。</w:t>
            </w:r>
          </w:p>
          <w:p>
            <w:pPr>
              <w:spacing w:line="320" w:lineRule="exact"/>
              <w:ind w:firstLine="420" w:firstLineChars="200"/>
              <w:rPr>
                <w:rFonts w:ascii="Times New Roman" w:hAnsi="Times New Roman"/>
                <w:color w:val="auto"/>
              </w:rPr>
            </w:pPr>
            <w:r>
              <w:rPr>
                <w:rFonts w:ascii="Times New Roman" w:hAnsi="宋体"/>
                <w:color w:val="auto"/>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rPr>
                <w:rFonts w:hint="eastAsia" w:ascii="Times New Roman" w:hAnsi="Times New Roman" w:eastAsia="宋体"/>
                <w:color w:val="auto"/>
                <w:lang w:eastAsia="zh-CN"/>
              </w:rPr>
            </w:pPr>
            <w:r>
              <w:rPr>
                <w:rFonts w:ascii="Times New Roman" w:hAnsi="宋体"/>
                <w:color w:val="auto"/>
              </w:rPr>
              <w:t>查看管理评审报告，批准：李平</w:t>
            </w:r>
            <w:r>
              <w:rPr>
                <w:rFonts w:hint="eastAsia" w:ascii="Times New Roman" w:hAnsi="宋体"/>
                <w:color w:val="auto"/>
              </w:rPr>
              <w:t xml:space="preserve"> </w:t>
            </w:r>
            <w:r>
              <w:rPr>
                <w:rFonts w:ascii="Times New Roman" w:hAnsi="Times New Roman"/>
                <w:color w:val="auto"/>
              </w:rPr>
              <w:t>202</w:t>
            </w:r>
            <w:r>
              <w:rPr>
                <w:rFonts w:hint="eastAsia"/>
                <w:color w:val="auto"/>
                <w:lang w:val="en-US" w:eastAsia="zh-CN"/>
              </w:rPr>
              <w:t>1</w:t>
            </w:r>
            <w:r>
              <w:rPr>
                <w:rFonts w:ascii="Times New Roman" w:hAnsi="Times New Roman"/>
                <w:color w:val="auto"/>
              </w:rPr>
              <w:t>.</w:t>
            </w:r>
            <w:r>
              <w:rPr>
                <w:rFonts w:hint="eastAsia" w:ascii="Times New Roman" w:hAnsi="Times New Roman"/>
                <w:color w:val="auto"/>
              </w:rPr>
              <w:t>8</w:t>
            </w:r>
            <w:r>
              <w:rPr>
                <w:rFonts w:ascii="Times New Roman" w:hAnsi="Times New Roman"/>
                <w:color w:val="auto"/>
              </w:rPr>
              <w:t>.</w:t>
            </w:r>
            <w:r>
              <w:rPr>
                <w:rFonts w:hint="eastAsia"/>
                <w:color w:val="auto"/>
                <w:lang w:val="en-US" w:eastAsia="zh-CN"/>
              </w:rPr>
              <w:t>5</w:t>
            </w:r>
          </w:p>
          <w:p>
            <w:pPr>
              <w:rPr>
                <w:rFonts w:ascii="Times New Roman" w:hAnsi="Times New Roman"/>
                <w:color w:val="auto"/>
              </w:rPr>
            </w:pPr>
            <w:r>
              <w:rPr>
                <w:rFonts w:ascii="Times New Roman" w:hAnsi="宋体"/>
                <w:color w:val="auto"/>
              </w:rPr>
              <w:t>评审结论：公司按照</w:t>
            </w:r>
            <w:r>
              <w:rPr>
                <w:rFonts w:ascii="Times New Roman" w:hAnsi="Times New Roman"/>
                <w:color w:val="auto"/>
              </w:rPr>
              <w:t>GB/T19001-2016</w:t>
            </w:r>
            <w:r>
              <w:rPr>
                <w:rFonts w:ascii="Times New Roman" w:hAnsi="宋体"/>
                <w:color w:val="auto"/>
              </w:rPr>
              <w:t>、</w:t>
            </w:r>
            <w:r>
              <w:rPr>
                <w:rFonts w:ascii="Times New Roman" w:hAnsi="Times New Roman"/>
                <w:color w:val="auto"/>
              </w:rPr>
              <w:t>GB/T50430-2017</w:t>
            </w:r>
            <w:r>
              <w:rPr>
                <w:rFonts w:ascii="Times New Roman" w:hAnsi="宋体"/>
                <w:color w:val="auto"/>
              </w:rPr>
              <w:t>、</w:t>
            </w:r>
            <w:r>
              <w:rPr>
                <w:rFonts w:ascii="Times New Roman" w:hAnsi="Times New Roman"/>
                <w:color w:val="auto"/>
              </w:rPr>
              <w:t>GB/T24001-2016</w:t>
            </w:r>
            <w:r>
              <w:rPr>
                <w:rFonts w:ascii="Times New Roman" w:hAnsi="宋体"/>
                <w:color w:val="auto"/>
              </w:rPr>
              <w:t>、</w:t>
            </w:r>
            <w:r>
              <w:rPr>
                <w:rFonts w:ascii="Times New Roman" w:hAnsi="Times New Roman"/>
                <w:color w:val="auto"/>
              </w:rPr>
              <w:t>ISO45001:2018</w:t>
            </w:r>
            <w:r>
              <w:rPr>
                <w:rFonts w:ascii="Times New Roman" w:hAnsi="宋体"/>
                <w:color w:val="auto"/>
              </w:rPr>
              <w:t>标准建立的管理体系，是持续适宜、充分的和有效的。达到了顾客满意和持续改进的目的。</w:t>
            </w:r>
          </w:p>
          <w:p>
            <w:pPr>
              <w:rPr>
                <w:rFonts w:hint="eastAsia" w:asciiTheme="minorEastAsia" w:hAnsiTheme="minorEastAsia" w:eastAsiaTheme="minorEastAsia" w:cstheme="minorEastAsia"/>
                <w:color w:val="auto"/>
                <w:sz w:val="21"/>
                <w:szCs w:val="21"/>
              </w:rPr>
            </w:pPr>
            <w:r>
              <w:rPr>
                <w:rFonts w:ascii="Times New Roman" w:hAnsi="宋体"/>
                <w:color w:val="auto"/>
              </w:rPr>
              <w:t>改进的建议：无。</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改进/持续改进</w:t>
            </w:r>
          </w:p>
          <w:p>
            <w:pPr>
              <w:rPr>
                <w:rFonts w:hint="eastAsia" w:asciiTheme="minorEastAsia" w:hAnsiTheme="minorEastAsia" w:eastAsiaTheme="minorEastAsia" w:cstheme="minorEastAsia"/>
                <w:color w:val="auto"/>
                <w:sz w:val="21"/>
                <w:szCs w:val="21"/>
              </w:rPr>
            </w:pPr>
          </w:p>
        </w:tc>
        <w:tc>
          <w:tcPr>
            <w:tcW w:w="83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10.3</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3.4.4</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12.5</w:t>
            </w:r>
          </w:p>
        </w:tc>
        <w:tc>
          <w:tcPr>
            <w:tcW w:w="11585" w:type="dxa"/>
            <w:vAlign w:val="center"/>
          </w:tcPr>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公司通过日常检查、定期监视和测量、例行检查、日常巡视、不合格控制、分析与评价、内部审核、管理评审等方法监控质量管理体系持续适宜性、充分性、有效性</w:t>
            </w:r>
            <w:r>
              <w:rPr>
                <w:rFonts w:hint="eastAsia" w:asciiTheme="minorEastAsia" w:hAnsiTheme="minorEastAsia" w:eastAsiaTheme="minorEastAsia" w:cstheme="minorEastAsia"/>
                <w:color w:val="auto"/>
                <w:sz w:val="21"/>
                <w:szCs w:val="21"/>
                <w:lang w:eastAsia="zh-CN"/>
              </w:rPr>
              <w:t>。</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管理者代表介绍：公司自建立管理体系以来，一直在寻求不断改进的机会。</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通过对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符合要求。</w:t>
            </w:r>
          </w:p>
        </w:tc>
        <w:tc>
          <w:tcPr>
            <w:tcW w:w="48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99" w:type="dxa"/>
            <w:tcBorders>
              <w:bottom w:val="single" w:color="auto" w:sz="4" w:space="0"/>
            </w:tcBorders>
          </w:tcPr>
          <w:p>
            <w:pPr>
              <w:tabs>
                <w:tab w:val="left" w:pos="7380"/>
              </w:tabs>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资质验证/范围再确认</w:t>
            </w:r>
          </w:p>
          <w:p>
            <w:pPr>
              <w:tabs>
                <w:tab w:val="left" w:pos="7380"/>
              </w:tabs>
              <w:spacing w:line="36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政府主管部门监督抽查情况</w:t>
            </w:r>
          </w:p>
          <w:p>
            <w:pPr>
              <w:tabs>
                <w:tab w:val="left" w:pos="738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顾客投诉和质量事故处理情况</w:t>
            </w:r>
          </w:p>
        </w:tc>
        <w:tc>
          <w:tcPr>
            <w:tcW w:w="836" w:type="dxa"/>
            <w:tcBorders>
              <w:bottom w:val="single" w:color="auto" w:sz="4" w:space="0"/>
            </w:tcBorders>
          </w:tcPr>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p>
        </w:tc>
        <w:tc>
          <w:tcPr>
            <w:tcW w:w="11585" w:type="dxa"/>
            <w:tcBorders>
              <w:bottom w:val="single" w:color="auto" w:sz="4" w:space="0"/>
            </w:tcBorders>
          </w:tcPr>
          <w:p>
            <w:pPr>
              <w:spacing w:line="320" w:lineRule="exact"/>
              <w:rPr>
                <w:rFonts w:hint="eastAsia" w:ascii="Times New Roman" w:hAnsi="Times New Roman"/>
                <w:color w:val="auto"/>
              </w:rPr>
            </w:pPr>
            <w:r>
              <w:rPr>
                <w:rFonts w:hint="eastAsia" w:ascii="Times New Roman" w:hAnsi="Times New Roman"/>
                <w:color w:val="auto"/>
              </w:rPr>
              <w:t>证书名称                                         证书编号                             有效期</w:t>
            </w:r>
          </w:p>
          <w:p>
            <w:pPr>
              <w:spacing w:line="320" w:lineRule="exact"/>
              <w:rPr>
                <w:rFonts w:hint="eastAsia" w:ascii="Times New Roman" w:hAnsi="Times New Roman"/>
                <w:color w:val="auto"/>
              </w:rPr>
            </w:pPr>
            <w:r>
              <w:rPr>
                <w:rFonts w:hint="eastAsia" w:ascii="Times New Roman" w:hAnsi="Times New Roman"/>
                <w:color w:val="auto"/>
              </w:rPr>
              <w:t>营业执照</w:t>
            </w:r>
            <w:r>
              <w:rPr>
                <w:rFonts w:hint="eastAsia" w:ascii="Times New Roman" w:hAnsi="Times New Roman"/>
                <w:color w:val="auto"/>
              </w:rPr>
              <w:tab/>
            </w:r>
            <w:r>
              <w:rPr>
                <w:rFonts w:hint="eastAsia" w:ascii="Times New Roman" w:hAnsi="Times New Roman"/>
                <w:color w:val="auto"/>
              </w:rPr>
              <w:t xml:space="preserve">                                    913601087460806760</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长期</w:t>
            </w:r>
          </w:p>
          <w:p>
            <w:pPr>
              <w:spacing w:line="320" w:lineRule="exact"/>
              <w:rPr>
                <w:rFonts w:hint="eastAsia" w:ascii="Times New Roman" w:hAnsi="Times New Roman"/>
                <w:color w:val="auto"/>
              </w:rPr>
            </w:pPr>
            <w:r>
              <w:rPr>
                <w:rFonts w:hint="eastAsia" w:ascii="Times New Roman" w:hAnsi="Times New Roman"/>
                <w:color w:val="auto"/>
              </w:rPr>
              <w:t>安全生产许可证</w:t>
            </w:r>
            <w:r>
              <w:rPr>
                <w:rFonts w:hint="eastAsia" w:ascii="Times New Roman" w:hAnsi="Times New Roman"/>
                <w:color w:val="auto"/>
              </w:rPr>
              <w:tab/>
            </w:r>
            <w:r>
              <w:rPr>
                <w:rFonts w:hint="eastAsia" w:ascii="Times New Roman" w:hAnsi="Times New Roman"/>
                <w:color w:val="auto"/>
              </w:rPr>
              <w:t xml:space="preserve">                                 (赣)JZ安许证字[2006]010207</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2023.8.13</w:t>
            </w:r>
          </w:p>
          <w:p>
            <w:pPr>
              <w:spacing w:line="320" w:lineRule="exact"/>
              <w:rPr>
                <w:rFonts w:hint="eastAsia" w:ascii="Times New Roman" w:hAnsi="Times New Roman"/>
                <w:color w:val="auto"/>
              </w:rPr>
            </w:pPr>
            <w:r>
              <w:rPr>
                <w:rFonts w:hint="eastAsia" w:ascii="Times New Roman" w:hAnsi="Times New Roman"/>
                <w:color w:val="auto"/>
              </w:rPr>
              <w:t>资质证书号 （市政公用工程施工总承包贰级）        D236054671</w:t>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ab/>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2021.12.31</w:t>
            </w:r>
          </w:p>
          <w:p>
            <w:pPr>
              <w:numPr>
                <w:ilvl w:val="0"/>
                <w:numId w:val="0"/>
              </w:numPr>
              <w:tabs>
                <w:tab w:val="left" w:pos="738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重大质量、环境、安全事故：无</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顾客重大质量投诉：无</w:t>
            </w:r>
          </w:p>
        </w:tc>
        <w:tc>
          <w:tcPr>
            <w:tcW w:w="489" w:type="dxa"/>
            <w:tcBorders>
              <w:bottom w:val="single" w:color="auto" w:sz="4" w:space="0"/>
            </w:tcBorders>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bl>
    <w:p>
      <w:pPr>
        <w:spacing w:line="480" w:lineRule="exact"/>
        <w:jc w:val="both"/>
        <w:rPr>
          <w:rFonts w:hint="eastAsia" w:asciiTheme="minorEastAsia" w:hAnsiTheme="minorEastAsia" w:eastAsiaTheme="minorEastAsia" w:cstheme="minorEastAsia"/>
          <w:bCs/>
          <w:color w:val="0000FF"/>
          <w:sz w:val="36"/>
          <w:szCs w:val="36"/>
        </w:rPr>
      </w:pPr>
    </w:p>
    <w:p>
      <w:pPr>
        <w:spacing w:line="480" w:lineRule="exact"/>
        <w:jc w:val="both"/>
        <w:rPr>
          <w:rFonts w:hint="eastAsia" w:asciiTheme="minorEastAsia" w:hAnsiTheme="minorEastAsia" w:eastAsiaTheme="minorEastAsia" w:cstheme="minorEastAsia"/>
          <w:bCs/>
          <w:color w:val="0000FF"/>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Theme="minorEastAsia" w:hAnsiTheme="minorEastAsia" w:eastAsiaTheme="minorEastAsia" w:cstheme="minorEastAsia"/>
          <w:bCs/>
          <w:color w:val="auto"/>
          <w:sz w:val="36"/>
          <w:szCs w:val="36"/>
        </w:rPr>
      </w:pPr>
    </w:p>
    <w:p>
      <w:pPr>
        <w:spacing w:line="480" w:lineRule="exact"/>
        <w:ind w:firstLine="5400" w:firstLineChars="1500"/>
        <w:jc w:val="both"/>
        <w:rPr>
          <w:rFonts w:hint="eastAsia" w:ascii="隶书" w:hAnsi="宋体" w:eastAsia="隶书"/>
          <w:bCs/>
          <w:color w:val="auto"/>
          <w:sz w:val="36"/>
          <w:szCs w:val="36"/>
        </w:rPr>
      </w:pPr>
      <w:r>
        <w:rPr>
          <w:rFonts w:hint="eastAsia" w:asciiTheme="minorEastAsia" w:hAnsiTheme="minorEastAsia" w:eastAsiaTheme="minorEastAsia" w:cstheme="minorEastAsia"/>
          <w:bCs/>
          <w:color w:val="auto"/>
          <w:sz w:val="36"/>
          <w:szCs w:val="36"/>
        </w:rPr>
        <w:t>管理体系审核记录表</w:t>
      </w:r>
      <w:r>
        <w:rPr>
          <w:rFonts w:hint="eastAsia" w:asciiTheme="minorEastAsia" w:hAnsiTheme="minorEastAsia" w:eastAsiaTheme="minorEastAsia" w:cstheme="minorEastAsia"/>
          <w:bCs/>
          <w:color w:val="auto"/>
          <w:sz w:val="36"/>
          <w:szCs w:val="36"/>
          <w:lang w:val="en-US" w:eastAsia="zh-CN"/>
        </w:rPr>
        <w:t>2</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651"/>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845"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65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b w:val="0"/>
                <w:bCs w:val="0"/>
                <w:color w:val="auto"/>
                <w:sz w:val="21"/>
                <w:szCs w:val="21"/>
              </w:rPr>
              <w:t>综合部</w:t>
            </w:r>
            <w:r>
              <w:rPr>
                <w:rFonts w:hint="eastAsia" w:asciiTheme="minorEastAsia" w:hAnsiTheme="minorEastAsia" w:eastAsiaTheme="minorEastAsia" w:cstheme="minorEastAsia"/>
                <w:color w:val="auto"/>
                <w:sz w:val="21"/>
                <w:szCs w:val="21"/>
              </w:rPr>
              <w:t xml:space="preserve">        </w:t>
            </w:r>
            <w:r>
              <w:rPr>
                <w:rFonts w:ascii="Times New Roman" w:hAnsi="宋体"/>
                <w:color w:val="auto"/>
              </w:rPr>
              <w:t>主管领导：</w:t>
            </w:r>
            <w:r>
              <w:rPr>
                <w:rFonts w:hint="eastAsia" w:ascii="Times New Roman" w:hAnsi="宋体"/>
                <w:color w:val="auto"/>
              </w:rPr>
              <w:t>樊友永</w:t>
            </w:r>
            <w:r>
              <w:rPr>
                <w:rFonts w:ascii="Times New Roman" w:hAnsi="Times New Roman"/>
                <w:color w:val="auto"/>
              </w:rPr>
              <w:t xml:space="preserve">      </w:t>
            </w:r>
            <w:r>
              <w:rPr>
                <w:rFonts w:ascii="Times New Roman" w:hAnsi="宋体"/>
                <w:color w:val="auto"/>
              </w:rPr>
              <w:t>陪同人员：</w:t>
            </w:r>
            <w:r>
              <w:rPr>
                <w:rFonts w:hint="eastAsia" w:ascii="Times New Roman" w:hAnsi="宋体"/>
                <w:color w:val="auto"/>
              </w:rPr>
              <w:t>胡剑萍</w:t>
            </w:r>
          </w:p>
        </w:tc>
        <w:tc>
          <w:tcPr>
            <w:tcW w:w="414"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Theme="minorEastAsia" w:hAnsiTheme="minorEastAsia" w:eastAsiaTheme="minorEastAsia" w:cstheme="minorEastAsia"/>
                <w:color w:val="auto"/>
                <w:sz w:val="21"/>
                <w:szCs w:val="21"/>
              </w:rPr>
            </w:pPr>
          </w:p>
        </w:tc>
        <w:tc>
          <w:tcPr>
            <w:tcW w:w="845" w:type="dxa"/>
            <w:vMerge w:val="continue"/>
            <w:vAlign w:val="center"/>
          </w:tcPr>
          <w:p>
            <w:pPr>
              <w:rPr>
                <w:rFonts w:hint="eastAsia" w:asciiTheme="minorEastAsia" w:hAnsiTheme="minorEastAsia" w:eastAsiaTheme="minorEastAsia" w:cstheme="minorEastAsia"/>
                <w:color w:val="auto"/>
                <w:sz w:val="21"/>
                <w:szCs w:val="21"/>
              </w:rPr>
            </w:pPr>
          </w:p>
        </w:tc>
        <w:tc>
          <w:tcPr>
            <w:tcW w:w="11651"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李凤仪</w:t>
            </w:r>
            <w:r>
              <w:rPr>
                <w:rFonts w:hint="eastAsia" w:asciiTheme="minorEastAsia" w:hAnsiTheme="minorEastAsia" w:eastAsiaTheme="minorEastAsia" w:cstheme="minorEastAsia"/>
                <w:color w:val="auto"/>
                <w:sz w:val="21"/>
                <w:szCs w:val="21"/>
              </w:rPr>
              <w:t xml:space="preserve">             审核时间：</w:t>
            </w:r>
            <w:r>
              <w:rPr>
                <w:rFonts w:ascii="Times New Roman" w:hAnsi="宋体"/>
                <w:color w:val="auto"/>
              </w:rPr>
              <w:t>审核时间：</w:t>
            </w:r>
            <w:r>
              <w:rPr>
                <w:rFonts w:ascii="Times New Roman" w:hAnsi="Times New Roman"/>
                <w:color w:val="auto"/>
              </w:rPr>
              <w:t>202</w:t>
            </w:r>
            <w:r>
              <w:rPr>
                <w:rFonts w:hint="eastAsia"/>
                <w:color w:val="auto"/>
                <w:lang w:val="en-US" w:eastAsia="zh-CN"/>
              </w:rPr>
              <w:t>1</w:t>
            </w:r>
            <w:r>
              <w:rPr>
                <w:rFonts w:ascii="Times New Roman" w:hAnsi="宋体"/>
                <w:color w:val="auto"/>
              </w:rPr>
              <w:t>年</w:t>
            </w:r>
            <w:r>
              <w:rPr>
                <w:rFonts w:ascii="Times New Roman" w:hAnsi="Times New Roman"/>
                <w:color w:val="auto"/>
              </w:rPr>
              <w:t>1</w:t>
            </w:r>
            <w:r>
              <w:rPr>
                <w:rFonts w:hint="eastAsia"/>
                <w:color w:val="auto"/>
                <w:lang w:val="en-US" w:eastAsia="zh-CN"/>
              </w:rPr>
              <w:t>1</w:t>
            </w:r>
            <w:r>
              <w:rPr>
                <w:rFonts w:ascii="Times New Roman" w:hAnsi="宋体"/>
                <w:color w:val="auto"/>
              </w:rPr>
              <w:t>月</w:t>
            </w:r>
            <w:r>
              <w:rPr>
                <w:rFonts w:hint="eastAsia"/>
                <w:color w:val="auto"/>
                <w:lang w:val="en-US" w:eastAsia="zh-CN"/>
              </w:rPr>
              <w:t>19</w:t>
            </w:r>
            <w:r>
              <w:rPr>
                <w:rFonts w:ascii="Times New Roman" w:hAnsi="宋体"/>
                <w:color w:val="auto"/>
              </w:rPr>
              <w:t>日</w:t>
            </w:r>
          </w:p>
        </w:tc>
        <w:tc>
          <w:tcPr>
            <w:tcW w:w="414"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Theme="minorEastAsia" w:hAnsiTheme="minorEastAsia" w:eastAsiaTheme="minorEastAsia" w:cstheme="minorEastAsia"/>
                <w:color w:val="auto"/>
                <w:sz w:val="21"/>
                <w:szCs w:val="21"/>
              </w:rPr>
            </w:pPr>
          </w:p>
        </w:tc>
        <w:tc>
          <w:tcPr>
            <w:tcW w:w="845" w:type="dxa"/>
            <w:vMerge w:val="continue"/>
            <w:vAlign w:val="center"/>
          </w:tcPr>
          <w:p>
            <w:pPr>
              <w:rPr>
                <w:rFonts w:hint="eastAsia" w:asciiTheme="minorEastAsia" w:hAnsiTheme="minorEastAsia" w:eastAsiaTheme="minorEastAsia" w:cstheme="minorEastAsia"/>
                <w:color w:val="auto"/>
                <w:sz w:val="21"/>
                <w:szCs w:val="21"/>
              </w:rPr>
            </w:pPr>
          </w:p>
        </w:tc>
        <w:tc>
          <w:tcPr>
            <w:tcW w:w="11651" w:type="dxa"/>
            <w:vAlign w:val="center"/>
          </w:tcPr>
          <w:p>
            <w:pPr>
              <w:spacing w:line="2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审核条款：Q5.3/6.2/9.1.2/9.2/10.2</w:t>
            </w:r>
          </w:p>
          <w:p>
            <w:pPr>
              <w:spacing w:line="260" w:lineRule="exact"/>
              <w:ind w:firstLine="1050" w:firstLineChars="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JQ4.3/3.2.3/3.5/5.1/5.2/5.3/7.2/12.1/12.2/12.3</w:t>
            </w:r>
          </w:p>
        </w:tc>
        <w:tc>
          <w:tcPr>
            <w:tcW w:w="414"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799" w:type="dxa"/>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组织的角色、职责和权限</w:t>
            </w:r>
          </w:p>
          <w:p>
            <w:pPr>
              <w:rPr>
                <w:rFonts w:hint="eastAsia" w:asciiTheme="minorEastAsia" w:hAnsiTheme="minorEastAsia" w:eastAsiaTheme="minorEastAsia" w:cstheme="minorEastAsia"/>
                <w:bCs/>
                <w:color w:val="auto"/>
                <w:sz w:val="21"/>
                <w:szCs w:val="21"/>
              </w:rPr>
            </w:pPr>
          </w:p>
        </w:tc>
        <w:tc>
          <w:tcPr>
            <w:tcW w:w="845" w:type="dxa"/>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5.3</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J4.3</w:t>
            </w:r>
          </w:p>
        </w:tc>
        <w:tc>
          <w:tcPr>
            <w:tcW w:w="11651" w:type="dxa"/>
          </w:tcPr>
          <w:p>
            <w:pPr>
              <w:spacing w:line="320" w:lineRule="exact"/>
              <w:rPr>
                <w:rFonts w:ascii="Times New Roman" w:hAnsi="Times New Roman"/>
                <w:color w:val="auto"/>
              </w:rPr>
            </w:pPr>
            <w:r>
              <w:rPr>
                <w:rFonts w:ascii="Times New Roman" w:hAnsi="Times New Roman"/>
                <w:color w:val="auto"/>
              </w:rPr>
              <w:t>部门负责人：</w:t>
            </w:r>
            <w:r>
              <w:rPr>
                <w:rFonts w:hint="eastAsia" w:ascii="Times New Roman" w:hAnsi="宋体"/>
                <w:color w:val="auto"/>
              </w:rPr>
              <w:t>樊友永</w:t>
            </w:r>
          </w:p>
          <w:p>
            <w:pPr>
              <w:rPr>
                <w:rFonts w:hint="eastAsia" w:asciiTheme="minorEastAsia" w:hAnsiTheme="minorEastAsia" w:eastAsiaTheme="minorEastAsia" w:cstheme="minorEastAsia"/>
                <w:color w:val="auto"/>
                <w:sz w:val="21"/>
                <w:szCs w:val="21"/>
              </w:rPr>
            </w:pPr>
            <w:r>
              <w:rPr>
                <w:rFonts w:ascii="Times New Roman" w:hAnsi="Times New Roman"/>
                <w:color w:val="auto"/>
              </w:rPr>
              <w:t>询问其职责权限：主要负责公司文件的控制，即文件的编制、收发、归档等管理工作。负责公司人力资源及教育培训工作。负责组织内审和管理评审工作，对不合格采取纠正和预防措施。职责明确，回答基本完整。</w:t>
            </w:r>
          </w:p>
        </w:tc>
        <w:tc>
          <w:tcPr>
            <w:tcW w:w="414"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tcPr>
          <w:p>
            <w:pPr>
              <w:tabs>
                <w:tab w:val="left" w:pos="7380"/>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目标、指标及完成情况</w:t>
            </w:r>
          </w:p>
        </w:tc>
        <w:tc>
          <w:tcPr>
            <w:tcW w:w="845" w:type="dxa"/>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6.2</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J3.2</w:t>
            </w:r>
          </w:p>
          <w:p>
            <w:pPr>
              <w:tabs>
                <w:tab w:val="left" w:pos="7380"/>
              </w:tabs>
              <w:spacing w:line="360" w:lineRule="auto"/>
              <w:rPr>
                <w:rFonts w:hint="eastAsia" w:asciiTheme="minorEastAsia" w:hAnsiTheme="minorEastAsia" w:eastAsiaTheme="minorEastAsia" w:cstheme="minorEastAsia"/>
                <w:bCs/>
                <w:color w:val="auto"/>
                <w:sz w:val="21"/>
                <w:szCs w:val="21"/>
              </w:rPr>
            </w:pPr>
          </w:p>
        </w:tc>
        <w:tc>
          <w:tcPr>
            <w:tcW w:w="11651"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根据公司总目标，分解到</w:t>
            </w:r>
            <w:r>
              <w:rPr>
                <w:rFonts w:hint="eastAsia" w:asciiTheme="minorEastAsia" w:hAnsiTheme="minorEastAsia" w:eastAsiaTheme="minorEastAsia" w:cstheme="minorEastAsia"/>
                <w:b w:val="0"/>
                <w:bCs w:val="0"/>
                <w:color w:val="auto"/>
                <w:sz w:val="21"/>
                <w:szCs w:val="21"/>
              </w:rPr>
              <w:t>综合部</w:t>
            </w:r>
            <w:r>
              <w:rPr>
                <w:rFonts w:hint="eastAsia" w:asciiTheme="minorEastAsia" w:hAnsiTheme="minorEastAsia" w:eastAsiaTheme="minorEastAsia" w:cstheme="minorEastAsia"/>
                <w:color w:val="auto"/>
                <w:sz w:val="21"/>
                <w:szCs w:val="21"/>
              </w:rPr>
              <w:t>的管理目标有：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年度培训计划执行率100％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确保特殊工种持证上岗，上岗率达到100%；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到目前为止该部门制定的目标指标均已完成。</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目标可测量，与管理方针能够相融合。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提供有《目标指标管理方案》并定期对管理方案进行检查。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基本符合要求。</w:t>
            </w:r>
          </w:p>
        </w:tc>
        <w:tc>
          <w:tcPr>
            <w:tcW w:w="414"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99" w:type="dxa"/>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分析和评价</w:t>
            </w:r>
          </w:p>
        </w:tc>
        <w:tc>
          <w:tcPr>
            <w:tcW w:w="845" w:type="dxa"/>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J</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12.3</w:t>
            </w:r>
          </w:p>
          <w:p>
            <w:pPr>
              <w:tabs>
                <w:tab w:val="left" w:pos="7380"/>
              </w:tabs>
              <w:spacing w:line="360" w:lineRule="auto"/>
              <w:rPr>
                <w:rFonts w:hint="eastAsia" w:asciiTheme="minorEastAsia" w:hAnsiTheme="minorEastAsia" w:eastAsiaTheme="minorEastAsia" w:cstheme="minorEastAsia"/>
                <w:bCs/>
                <w:color w:val="auto"/>
                <w:sz w:val="21"/>
                <w:szCs w:val="21"/>
              </w:rPr>
            </w:pPr>
          </w:p>
        </w:tc>
        <w:tc>
          <w:tcPr>
            <w:tcW w:w="11651"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查《管理手册》规定了检查、分析、评价和改进的内容，规定了相应的职责和能力要求，及信息收集方式和分析方法。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查见有工绩效考核管理制度、质量管理自查与评价制度、绩效的监视和测量管理程序等。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负责人介绍介绍公司通过平时的检查、项目总结、内审、管理评审、目标/指标和管理方案的实施情况监测来分析管理体系的运行情况；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本公司管理体系分析和评价内容有：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1.产品和服务的符合性—通过目标考核，目标完成报告；（定量分析）</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2.顾客满意程度---收集顾客满意度信息，统计评价；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3.外部供方的评价，年度的供方再评价。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4.针对风险和机遇所采取措施的有效性---提供评价报告；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5.管理评审中对：策划是否得到有效实施、质量管理体系的绩效和有效性、管理体系改进的需求 均有分析评价（定性）。</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体系各大过程进行不定期的检查及对质量目标进行定期的考核。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通过内审，管评，外审等方式对体系的绩效和有效性进行评价。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基本符合要求。</w:t>
            </w:r>
          </w:p>
        </w:tc>
        <w:tc>
          <w:tcPr>
            <w:tcW w:w="414"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内部审核</w:t>
            </w:r>
          </w:p>
        </w:tc>
        <w:tc>
          <w:tcPr>
            <w:tcW w:w="845" w:type="dxa"/>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J</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w:t>
            </w:r>
          </w:p>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p>
          <w:p>
            <w:pPr>
              <w:tabs>
                <w:tab w:val="left" w:pos="7380"/>
              </w:tabs>
              <w:spacing w:line="360" w:lineRule="auto"/>
              <w:rPr>
                <w:rFonts w:hint="eastAsia" w:asciiTheme="minorEastAsia" w:hAnsiTheme="minorEastAsia" w:eastAsiaTheme="minorEastAsia" w:cstheme="minorEastAsia"/>
                <w:bCs/>
                <w:color w:val="auto"/>
                <w:sz w:val="21"/>
                <w:szCs w:val="21"/>
              </w:rPr>
            </w:pPr>
          </w:p>
        </w:tc>
        <w:tc>
          <w:tcPr>
            <w:tcW w:w="11651" w:type="dxa"/>
          </w:tcPr>
          <w:p>
            <w:pPr>
              <w:spacing w:line="320" w:lineRule="exact"/>
              <w:rPr>
                <w:rFonts w:ascii="Times New Roman" w:hAnsi="Times New Roman"/>
                <w:color w:val="auto"/>
              </w:rPr>
            </w:pPr>
            <w:r>
              <w:rPr>
                <w:rFonts w:ascii="Times New Roman" w:hAnsi="Times New Roman"/>
                <w:color w:val="auto"/>
              </w:rPr>
              <w:t>编制《内审控制程序》，基本符合标准要求。</w:t>
            </w:r>
          </w:p>
          <w:p>
            <w:pPr>
              <w:spacing w:line="320" w:lineRule="exact"/>
              <w:rPr>
                <w:rFonts w:ascii="Times New Roman" w:hAnsi="Times New Roman"/>
                <w:color w:val="auto"/>
              </w:rPr>
            </w:pPr>
            <w:r>
              <w:rPr>
                <w:rFonts w:ascii="Times New Roman" w:hAnsi="Times New Roman"/>
                <w:color w:val="auto"/>
              </w:rPr>
              <w:t>经查问：总经理、管代、各部门主管均经培训并参加了内部审核。</w:t>
            </w:r>
          </w:p>
          <w:p>
            <w:pPr>
              <w:spacing w:line="320" w:lineRule="exact"/>
              <w:rPr>
                <w:rFonts w:ascii="Times New Roman" w:hAnsi="Times New Roman"/>
                <w:color w:val="auto"/>
              </w:rPr>
            </w:pPr>
            <w:r>
              <w:rPr>
                <w:rFonts w:ascii="Times New Roman" w:hAnsi="Times New Roman"/>
                <w:color w:val="auto"/>
              </w:rPr>
              <w:t>202</w:t>
            </w:r>
            <w:r>
              <w:rPr>
                <w:rFonts w:hint="eastAsia"/>
                <w:color w:val="auto"/>
                <w:lang w:val="en-US" w:eastAsia="zh-CN"/>
              </w:rPr>
              <w:t>1</w:t>
            </w:r>
            <w:r>
              <w:rPr>
                <w:rFonts w:ascii="Times New Roman" w:hAnsi="Times New Roman"/>
                <w:color w:val="auto"/>
              </w:rPr>
              <w:t>.</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27</w:t>
            </w:r>
            <w:r>
              <w:rPr>
                <w:rFonts w:ascii="Times New Roman" w:hAnsi="Times New Roman"/>
                <w:color w:val="auto"/>
              </w:rPr>
              <w:t>-</w:t>
            </w:r>
            <w:r>
              <w:rPr>
                <w:rFonts w:hint="eastAsia" w:ascii="Times New Roman" w:hAnsi="Times New Roman"/>
                <w:color w:val="auto"/>
              </w:rPr>
              <w:t>28</w:t>
            </w:r>
            <w:r>
              <w:rPr>
                <w:rFonts w:ascii="Times New Roman" w:hAnsi="Times New Roman"/>
                <w:color w:val="auto"/>
              </w:rPr>
              <w:t>开展管理体系内部审核活动，并提供有以下内审的资料：</w:t>
            </w:r>
          </w:p>
          <w:p>
            <w:pPr>
              <w:spacing w:line="320" w:lineRule="exact"/>
              <w:rPr>
                <w:rFonts w:hint="eastAsia" w:ascii="Times New Roman" w:hAnsi="Times New Roman" w:eastAsia="宋体"/>
                <w:color w:val="auto"/>
                <w:lang w:eastAsia="zh-CN"/>
              </w:rPr>
            </w:pPr>
            <w:r>
              <w:rPr>
                <w:rFonts w:ascii="Times New Roman" w:hAnsi="Times New Roman"/>
                <w:color w:val="auto"/>
              </w:rPr>
              <w:t>——《审核实施计划》，编制：</w:t>
            </w:r>
            <w:r>
              <w:rPr>
                <w:rFonts w:hint="eastAsia" w:ascii="Times New Roman" w:hAnsi="Times New Roman"/>
                <w:color w:val="auto"/>
              </w:rPr>
              <w:t>综合部</w:t>
            </w:r>
            <w:r>
              <w:rPr>
                <w:rFonts w:ascii="Times New Roman" w:hAnsi="Times New Roman"/>
                <w:color w:val="auto"/>
              </w:rPr>
              <w:t xml:space="preserve">  批准：</w:t>
            </w:r>
            <w:r>
              <w:rPr>
                <w:rFonts w:hint="eastAsia"/>
                <w:color w:val="auto"/>
              </w:rPr>
              <w:t xml:space="preserve">李平 </w:t>
            </w:r>
            <w:r>
              <w:rPr>
                <w:rFonts w:ascii="Times New Roman" w:hAnsi="Times New Roman"/>
                <w:color w:val="auto"/>
              </w:rPr>
              <w:t>202</w:t>
            </w:r>
            <w:r>
              <w:rPr>
                <w:rFonts w:hint="eastAsia"/>
                <w:color w:val="auto"/>
                <w:lang w:val="en-US" w:eastAsia="zh-CN"/>
              </w:rPr>
              <w:t>1</w:t>
            </w:r>
            <w:r>
              <w:rPr>
                <w:rFonts w:ascii="Times New Roman" w:hAnsi="Times New Roman"/>
                <w:color w:val="auto"/>
              </w:rPr>
              <w:t>.</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2</w:t>
            </w:r>
            <w:r>
              <w:rPr>
                <w:rFonts w:hint="eastAsia"/>
                <w:color w:val="auto"/>
                <w:lang w:val="en-US" w:eastAsia="zh-CN"/>
              </w:rPr>
              <w:t>1</w:t>
            </w:r>
          </w:p>
          <w:p>
            <w:pPr>
              <w:spacing w:line="320" w:lineRule="exact"/>
              <w:rPr>
                <w:rFonts w:ascii="Times New Roman" w:hAnsi="Times New Roman"/>
                <w:color w:val="auto"/>
              </w:rPr>
            </w:pPr>
            <w:r>
              <w:rPr>
                <w:rFonts w:ascii="Times New Roman" w:hAnsi="Times New Roman"/>
                <w:color w:val="auto"/>
              </w:rPr>
              <w:t>计划中规定审核的目的、依据、范围、时间、审核安排；</w:t>
            </w:r>
          </w:p>
          <w:p>
            <w:pPr>
              <w:spacing w:line="320" w:lineRule="exact"/>
              <w:rPr>
                <w:rFonts w:ascii="Times New Roman" w:hAnsi="Times New Roman"/>
                <w:color w:val="auto"/>
              </w:rPr>
            </w:pPr>
            <w:r>
              <w:rPr>
                <w:rFonts w:ascii="Times New Roman" w:hAnsi="Times New Roman"/>
                <w:color w:val="auto"/>
              </w:rPr>
              <w:t>审核组组长：</w:t>
            </w:r>
            <w:r>
              <w:rPr>
                <w:rFonts w:hint="eastAsia" w:ascii="宋体" w:hAnsi="宋体"/>
                <w:color w:val="000000"/>
                <w:sz w:val="21"/>
                <w:szCs w:val="21"/>
                <w:lang w:eastAsia="zh-CN"/>
              </w:rPr>
              <w:t>李运华</w:t>
            </w:r>
            <w:r>
              <w:rPr>
                <w:rFonts w:ascii="Times New Roman" w:hAnsi="Times New Roman"/>
                <w:color w:val="auto"/>
              </w:rPr>
              <w:t>，组员：</w:t>
            </w:r>
            <w:r>
              <w:rPr>
                <w:rFonts w:hint="eastAsia" w:ascii="Times New Roman" w:hAnsi="Times New Roman"/>
                <w:color w:val="auto"/>
              </w:rPr>
              <w:t>樊友永、徐龙国</w:t>
            </w:r>
            <w:r>
              <w:rPr>
                <w:rFonts w:ascii="Times New Roman" w:hAnsi="Times New Roman"/>
                <w:color w:val="auto"/>
              </w:rPr>
              <w:t>。</w:t>
            </w:r>
          </w:p>
          <w:p>
            <w:pPr>
              <w:spacing w:line="320" w:lineRule="exact"/>
              <w:rPr>
                <w:rFonts w:ascii="Times New Roman" w:hAnsi="Times New Roman"/>
                <w:color w:val="auto"/>
              </w:rPr>
            </w:pPr>
            <w:r>
              <w:rPr>
                <w:rFonts w:ascii="Times New Roman" w:hAnsi="Times New Roman"/>
                <w:color w:val="auto"/>
              </w:rPr>
              <w:t>计划中没有漏标准条款、没有遗漏体系覆盖的部门和场所，内审员没有审核自己的工作。</w:t>
            </w:r>
          </w:p>
          <w:p>
            <w:pPr>
              <w:spacing w:line="320" w:lineRule="exact"/>
              <w:rPr>
                <w:rFonts w:ascii="Times New Roman" w:hAnsi="Times New Roman"/>
                <w:color w:val="auto"/>
              </w:rPr>
            </w:pPr>
            <w:r>
              <w:rPr>
                <w:rFonts w:ascii="Times New Roman" w:hAnsi="Times New Roman"/>
                <w:color w:val="auto"/>
              </w:rPr>
              <w:t>——内审首末次会议签到（领导层、各部门负责人）；</w:t>
            </w:r>
          </w:p>
          <w:p>
            <w:pPr>
              <w:spacing w:line="320" w:lineRule="exact"/>
              <w:rPr>
                <w:rFonts w:ascii="Times New Roman" w:hAnsi="Times New Roman"/>
                <w:color w:val="auto"/>
              </w:rPr>
            </w:pPr>
            <w:r>
              <w:rPr>
                <w:rFonts w:ascii="Times New Roman" w:hAnsi="Times New Roman"/>
                <w:color w:val="auto"/>
              </w:rPr>
              <w:t>——内部审核检查表，审核按计划进行，没有遗漏标准条款及体系覆盖的部门和场所，内审员没有审核自己的工作。</w:t>
            </w:r>
          </w:p>
          <w:p>
            <w:pPr>
              <w:spacing w:line="320" w:lineRule="exact"/>
              <w:rPr>
                <w:rFonts w:ascii="Times New Roman" w:hAnsi="Times New Roman"/>
                <w:color w:val="auto"/>
              </w:rPr>
            </w:pPr>
            <w:r>
              <w:rPr>
                <w:rFonts w:ascii="Times New Roman" w:hAnsi="Times New Roman"/>
                <w:color w:val="auto"/>
              </w:rPr>
              <w:t>——本次内审发现</w:t>
            </w:r>
            <w:r>
              <w:rPr>
                <w:rFonts w:hint="eastAsia" w:ascii="Times New Roman" w:hAnsi="Times New Roman"/>
                <w:color w:val="auto"/>
              </w:rPr>
              <w:t>1</w:t>
            </w:r>
            <w:r>
              <w:rPr>
                <w:rFonts w:ascii="Times New Roman" w:hAnsi="Times New Roman"/>
                <w:color w:val="auto"/>
              </w:rPr>
              <w:t>项不合格，为一般不符合项，查看《不符合报告》（综合部E</w:t>
            </w:r>
            <w:r>
              <w:rPr>
                <w:rFonts w:hint="eastAsia" w:ascii="Times New Roman" w:hAnsi="Times New Roman"/>
                <w:color w:val="auto"/>
              </w:rPr>
              <w:t>8.1</w:t>
            </w:r>
            <w:r>
              <w:rPr>
                <w:rFonts w:ascii="Times New Roman" w:hAnsi="Times New Roman"/>
                <w:color w:val="auto"/>
              </w:rPr>
              <w:t>），不符合事实描述清晰，不符合原因分析准确，并制定了纠正及纠正预防措施，且措施可行，并对其有效性进行了验证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color w:val="auto"/>
                <w:sz w:val="21"/>
                <w:szCs w:val="21"/>
              </w:rPr>
            </w:pPr>
            <w:r>
              <w:rPr>
                <w:rFonts w:ascii="Times New Roman" w:hAnsi="Times New Roman"/>
                <w:color w:val="auto"/>
              </w:rPr>
              <w:t>——本次内审编制有《内部管理体系审核报告》，结论：公司的质量、环境和职业健康安全管理体系符合ISO9001:2015、ISO14001:2015和ISO45001:2018、GB/T50430-2017标准的要求。编制：</w:t>
            </w:r>
            <w:r>
              <w:rPr>
                <w:rFonts w:hint="eastAsia" w:ascii="Times New Roman" w:hAnsi="Times New Roman"/>
                <w:color w:val="auto"/>
              </w:rPr>
              <w:t>综合部</w:t>
            </w:r>
            <w:r>
              <w:rPr>
                <w:rFonts w:ascii="Times New Roman" w:hAnsi="Times New Roman"/>
                <w:color w:val="auto"/>
              </w:rPr>
              <w:t xml:space="preserve">  批准：李平202</w:t>
            </w:r>
            <w:r>
              <w:rPr>
                <w:rFonts w:hint="eastAsia"/>
                <w:color w:val="auto"/>
                <w:lang w:val="en-US" w:eastAsia="zh-CN"/>
              </w:rPr>
              <w:t>1</w:t>
            </w:r>
            <w:r>
              <w:rPr>
                <w:rFonts w:ascii="Times New Roman" w:hAnsi="Times New Roman"/>
                <w:color w:val="auto"/>
              </w:rPr>
              <w:t>.</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28</w:t>
            </w:r>
          </w:p>
        </w:tc>
        <w:tc>
          <w:tcPr>
            <w:tcW w:w="414"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tcPr>
          <w:p>
            <w:pPr>
              <w:tabs>
                <w:tab w:val="left" w:pos="7380"/>
              </w:tabs>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不合格和纠正措施</w:t>
            </w:r>
          </w:p>
        </w:tc>
        <w:tc>
          <w:tcPr>
            <w:tcW w:w="845" w:type="dxa"/>
            <w:tcBorders>
              <w:bottom w:val="single" w:color="auto" w:sz="4" w:space="0"/>
            </w:tcBorders>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10.2</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12.5</w:t>
            </w:r>
          </w:p>
          <w:p>
            <w:pPr>
              <w:rPr>
                <w:rFonts w:hint="eastAsia" w:asciiTheme="minorEastAsia" w:hAnsiTheme="minorEastAsia" w:eastAsiaTheme="minorEastAsia" w:cstheme="minorEastAsia"/>
                <w:color w:val="auto"/>
                <w:sz w:val="21"/>
                <w:szCs w:val="21"/>
              </w:rPr>
            </w:pPr>
          </w:p>
        </w:tc>
        <w:tc>
          <w:tcPr>
            <w:tcW w:w="11651" w:type="dxa"/>
            <w:tcBorders>
              <w:bottom w:val="single" w:color="auto" w:sz="4" w:space="0"/>
            </w:tcBorders>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公司编制有不合格品管理程序规定了不符合的控制流程、不合格分级、不合格评审及处置以及纠正和纠正措施等要求等，基本符合要求。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体系自运行以来，公司未发生施工质量的严重不符合以及体系运行的系统性问题，故无纠正措施实施的记录，另外由于未发生潜在的不符合，故也无预防措施实施的记录。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内审中发现的不符合，采取纠正措施，并采取相应的预防措施。</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基本符合要求。</w:t>
            </w:r>
          </w:p>
        </w:tc>
        <w:tc>
          <w:tcPr>
            <w:tcW w:w="414" w:type="dxa"/>
            <w:tcBorders>
              <w:bottom w:val="single" w:color="auto" w:sz="4" w:space="0"/>
            </w:tcBorders>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bl>
    <w:p>
      <w:pPr>
        <w:pStyle w:val="2"/>
        <w:rPr>
          <w:rFonts w:hint="eastAsia"/>
        </w:rPr>
      </w:pPr>
    </w:p>
    <w:p>
      <w:pPr>
        <w:spacing w:line="480" w:lineRule="exact"/>
        <w:jc w:val="center"/>
        <w:rPr>
          <w:rFonts w:hint="eastAsia" w:ascii="隶书" w:hAnsi="宋体" w:eastAsia="隶书"/>
          <w:bCs/>
          <w:color w:val="000000"/>
          <w:sz w:val="36"/>
          <w:szCs w:val="36"/>
        </w:rPr>
      </w:pPr>
    </w:p>
    <w:p>
      <w:pPr>
        <w:pStyle w:val="9"/>
        <w:rPr>
          <w:rFonts w:hint="eastAsia"/>
        </w:rPr>
      </w:pPr>
    </w:p>
    <w:p>
      <w:pPr>
        <w:pStyle w:val="9"/>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296"/>
        <w:gridCol w:w="1044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pPr>
            <w:r>
              <w:rPr>
                <w:rFonts w:hint="eastAsia"/>
                <w:sz w:val="24"/>
                <w:szCs w:val="24"/>
              </w:rPr>
              <w:t>抽样计划</w:t>
            </w:r>
          </w:p>
        </w:tc>
        <w:tc>
          <w:tcPr>
            <w:tcW w:w="129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sz w:val="24"/>
                <w:szCs w:val="24"/>
              </w:rPr>
              <w:t>条款</w:t>
            </w:r>
          </w:p>
        </w:tc>
        <w:tc>
          <w:tcPr>
            <w:tcW w:w="1044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4"/>
                <w:szCs w:val="24"/>
              </w:rPr>
            </w:pPr>
            <w:r>
              <w:rPr>
                <w:rFonts w:hint="eastAsia"/>
                <w:sz w:val="24"/>
                <w:szCs w:val="24"/>
              </w:rPr>
              <w:t>受审核部门：经营部</w:t>
            </w:r>
            <w:r>
              <w:rPr>
                <w:rFonts w:hint="eastAsia"/>
                <w:sz w:val="24"/>
                <w:szCs w:val="24"/>
                <w:lang w:val="en-US" w:eastAsia="zh-CN"/>
              </w:rPr>
              <w:t xml:space="preserve">           </w:t>
            </w:r>
            <w:r>
              <w:rPr>
                <w:rFonts w:hint="eastAsia"/>
                <w:sz w:val="24"/>
                <w:szCs w:val="24"/>
              </w:rPr>
              <w:t>主管领导</w:t>
            </w:r>
            <w:r>
              <w:rPr>
                <w:rFonts w:hint="eastAsia" w:ascii="Times New Roman" w:hAnsi="Times New Roman" w:eastAsia="宋体" w:cs="Times New Roman"/>
                <w:sz w:val="24"/>
                <w:szCs w:val="24"/>
                <w:lang w:val="en-US" w:eastAsia="zh-CN"/>
              </w:rPr>
              <w:t>：雷磊       陪同人员：胡</w:t>
            </w:r>
            <w:r>
              <w:rPr>
                <w:rFonts w:hint="eastAsia"/>
                <w:sz w:val="24"/>
                <w:szCs w:val="24"/>
                <w:lang w:val="en-US" w:eastAsia="zh-CN"/>
              </w:rPr>
              <w:t>剑萍</w:t>
            </w:r>
          </w:p>
        </w:tc>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044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sz w:val="24"/>
                <w:szCs w:val="24"/>
              </w:rPr>
              <w:t>审核员：</w:t>
            </w:r>
            <w:r>
              <w:rPr>
                <w:rFonts w:hint="eastAsia"/>
                <w:sz w:val="24"/>
                <w:szCs w:val="24"/>
                <w:lang w:val="en-US" w:eastAsia="zh-CN"/>
              </w:rPr>
              <w:t xml:space="preserve">李凤仪               </w:t>
            </w:r>
            <w:r>
              <w:rPr>
                <w:rFonts w:hint="eastAsia" w:ascii="Times New Roman" w:hAnsi="Times New Roman" w:cs="Times New Roman"/>
                <w:sz w:val="24"/>
                <w:szCs w:val="24"/>
              </w:rPr>
              <w:t>审核时间：</w:t>
            </w:r>
            <w:bookmarkStart w:id="0" w:name="审核日期"/>
            <w:r>
              <w:rPr>
                <w:rFonts w:hint="eastAsia" w:ascii="Times New Roman" w:hAnsi="Times New Roman" w:cs="Times New Roman"/>
                <w:sz w:val="24"/>
                <w:szCs w:val="24"/>
              </w:rPr>
              <w:t>2021年11月1</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日</w:t>
            </w:r>
            <w:bookmarkEnd w:id="0"/>
          </w:p>
        </w:tc>
        <w:tc>
          <w:tcPr>
            <w:tcW w:w="928"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29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044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rPr>
            </w:pPr>
            <w:r>
              <w:rPr>
                <w:rFonts w:hint="eastAsia" w:asciiTheme="minorEastAsia" w:hAnsiTheme="minorEastAsia" w:eastAsiaTheme="minorEastAsia" w:cstheme="minorEastAsia"/>
                <w:b w:val="0"/>
                <w:bCs w:val="0"/>
                <w:sz w:val="21"/>
                <w:szCs w:val="21"/>
                <w:highlight w:val="none"/>
                <w:lang w:val="en-US" w:eastAsia="zh-CN"/>
              </w:rPr>
              <w:t>Q/J:5.3(4.3)、6.2(3.2.4)、8.2（6.1-6.3）、8.4（9.1-9.3、8.1-8.4）、9.1.2(10.7.4)</w:t>
            </w:r>
          </w:p>
        </w:tc>
        <w:tc>
          <w:tcPr>
            <w:tcW w:w="928"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5.3</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J</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4.3</w:t>
            </w:r>
          </w:p>
        </w:tc>
        <w:tc>
          <w:tcPr>
            <w:tcW w:w="1044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《管理手册》5.3条款规定了本部门的职责和权限，</w:t>
            </w:r>
            <w:r>
              <w:rPr>
                <w:rFonts w:hint="eastAsia" w:asciiTheme="minorEastAsia" w:hAnsiTheme="minorEastAsia" w:eastAsiaTheme="minorEastAsia" w:cstheme="minorEastAsia"/>
                <w:sz w:val="21"/>
                <w:szCs w:val="21"/>
                <w:lang w:eastAsia="zh-CN"/>
              </w:rPr>
              <w:t>经营部</w:t>
            </w:r>
            <w:r>
              <w:rPr>
                <w:rFonts w:hint="eastAsia" w:asciiTheme="minorEastAsia" w:hAnsiTheme="minorEastAsia" w:eastAsiaTheme="minorEastAsia" w:cstheme="minorEastAsia"/>
                <w:sz w:val="21"/>
                <w:szCs w:val="21"/>
              </w:rPr>
              <w:t>主要负责：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参加投标和议标，了解顾客要求和期望，编制标书，并对标书组织有关部门进行评审，发出投标书；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在合同签订前，对合同进行评审，确认本公司有能力满足顾客的期望和要求；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顾客产品要求的更改（合同）更改，经确认后，通知相关部门和人员明白更改的要求内容；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收集分析顾客有关信息，对产品质量进行顾客满意度调查，并将收集调查结果报告总经理及有关部门。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部门职责和权限已在公司及部门内部进行了沟通和交流。</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lang w:val="en-US" w:eastAsia="zh-C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目标、指标及完成情况</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JQ：3.2.3</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JQ：3.2.4</w:t>
            </w:r>
          </w:p>
        </w:tc>
        <w:tc>
          <w:tcPr>
            <w:tcW w:w="1044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查见“部门分解目标”，经营部目标为：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顾客满意度≥95%。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合同评审率100%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lang w:val="en-US" w:eastAsia="zh-CN"/>
              </w:rPr>
            </w:pPr>
            <w:r>
              <w:rPr>
                <w:rFonts w:hint="eastAsia" w:asciiTheme="minorEastAsia" w:hAnsiTheme="minorEastAsia" w:eastAsiaTheme="minorEastAsia" w:cstheme="minorEastAsia"/>
                <w:sz w:val="21"/>
                <w:szCs w:val="21"/>
                <w:lang w:val="en-US" w:eastAsia="zh-CN"/>
              </w:rPr>
              <w:t>查见“质量、环境、职业健康安全完成情况检查记录”，见2021.10.14公司对各部门目标完成情况进行了检查，经营部目标均完成。</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lang w:val="en-US" w:eastAsia="zh-C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招投标、合同管理</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JQ：6.1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JQ：6.2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JQ：6.3</w:t>
            </w:r>
          </w:p>
        </w:tc>
        <w:tc>
          <w:tcPr>
            <w:tcW w:w="1044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招投标、合同管理：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制定了《标书及合同管理程序》包涵了规范要求的工程项目投标及工程合同管理制度，明确了投标与工程合同管理的控制流程。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跟负责人沟通：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1、公司通过招投标、市场开拓及客户介绍等其他方式获得合同。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2、通过资格预审、招标答疑、招标书、电话、现场拜访、网络和与业主的交流。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3、需了解业主明示的要求、未明示但必须满足的、与项目相关的法律法规/行业的技术和规范要求及企业的相关要求。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4、投标或签订合同前，公司通过会议、网络及文件方式对以上业主要求、公司的技术能力/施工能力/财务能力及需面对的风险和机遇进行评审；评审通过后依法进行投标及签订合同。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5、合同签订后，经营部组织，通过会议、培训、书面等各种方式跟工程部、项目部等进行合同交底。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6、在合同履行过程中，业主、监理、设计等各方提出合同的变更需要书面签认，作为合同的组成部分；按规定进行合同更改信息交流，做相应工程信息的更改。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7、跟发包方保持沟通，进行合同履约分析，包括工程进行中和完工后；并定期分析、评价合同履行情况；保存合同变更、会议纪要、函件、通知等履约内容，确保工程和服务质量。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查记录及执行情况，抽见：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项目名称：荣华路污水管建设工程施工合同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客户：南昌金开城建实业有限公司，2021.6.5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开工日期：2021.6.10，完工日期：2021.6.30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项目名称：中国电信江西云和大数据中心园区市政雨污水接驳工程施工合同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客户：南昌金开城建实业有限公司，2021.7.10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开工日期：2021.7.20，完工日期：2021.8.20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项目名称：恒大时代之光西侧地块水塘排水工程施工合同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客户：南昌金开城建实业有限公司，2021.4.25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开工日期：2021.5.1，完工日期：2021.5.20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项目名称：金牛棚户区改造项目3#地块所涉规划社区道路（冠山北路至冠山路）建设工程施工合同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客户：南昌市昌北开放开发区开发建设总公司，2021.8.13</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开工日期：2021.8.15，完工日期：2021.10.15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合同内容有：合同签订依据、工程地点、工程内容、合同工期、质量标准、合同价款、组成合同的文件（合同协议书、中标通知书、投标书记附件、本合同专业条款、工程量清单等）词语解释、质量保证等，内容明确，有双方公司签章确认，作为了评审的依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2）合同评审：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工匠集团联审意见表”，签订合同前工程部织各部门，以会签的方式进行评审；评审内容主要有：承包范围及工期、质量要求及相关条款、合同价款及调整方式、预付款及进度款支付、材料设备采购相应条款、结算时限、违约责任、保修责任、法律风险、资金保障等，最后给出评审结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查见以上合同评审记录，评审时间符合要求，参加评审人员包括：总经理、分管领导、财务部、综合部、经营部、质安部。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3）合同交底：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合同签订后项目开工前经营部协同工程部对项目部进行交底，交底内容有：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对工程起止日期、工程地点、工程概况、工程内容、质量标准、工程量确认方式、保修期限、甲供材料、工程量变更、竣工验收与结算等内容进行交底，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交底内容符合要求。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4）合同履约分析：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合同履约过程中经营部协同工程部、办公室及机械部定期对工程进度、工程款支付、合同变更、经济签证等内容进行检查并根据检查结果进行分析。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负责人介绍，以上项目施工过程中履约情况良好，未发现不良情况发生。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合同变更：负责人介绍说：公司合同签订后几乎没有修改变更，一般都是在评审过程中反复修改，最后定稿。如有变动，以补充协议的形式附加在后面，作为对合同的补充条款。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以上合同未见变更。</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rPr>
            </w:pPr>
            <w:r>
              <w:rPr>
                <w:rFonts w:hint="eastAsia"/>
              </w:rPr>
              <w:t>外部提供过程、产品和服务的控制</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分包管理</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Cs/>
                <w:spacing w:val="10"/>
                <w:kern w:val="2"/>
                <w:sz w:val="21"/>
                <w:szCs w:val="21"/>
                <w:lang w:val="en-US" w:eastAsia="zh-CN" w:bidi="ar-SA"/>
              </w:rPr>
            </w:pP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Q8.4</w:t>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J8.2-8.4</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J9.1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9.2</w:t>
            </w:r>
          </w:p>
          <w:p>
            <w:pPr>
              <w:keepNext w:val="0"/>
              <w:keepLines w:val="0"/>
              <w:pageBreakBefore w:val="0"/>
              <w:widowControl w:val="0"/>
              <w:kinsoku/>
              <w:wordWrap/>
              <w:overflowPunct/>
              <w:topLinePunct w:val="0"/>
              <w:autoSpaceDE/>
              <w:autoSpaceDN/>
              <w:bidi w:val="0"/>
              <w:adjustRightInd/>
              <w:snapToGrid/>
              <w:spacing w:after="0" w:line="360" w:lineRule="auto"/>
              <w:ind w:firstLine="308" w:firstLineChars="147"/>
              <w:jc w:val="both"/>
              <w:textAlignment w:val="auto"/>
              <w:rPr>
                <w:rFonts w:hint="eastAsia" w:asciiTheme="minorEastAsia" w:hAnsiTheme="minorEastAsia" w:eastAsiaTheme="minorEastAsia" w:cstheme="minorEastAsia"/>
                <w:kern w:val="2"/>
                <w:sz w:val="21"/>
                <w:szCs w:val="21"/>
                <w:lang w:val="en-US" w:eastAsia="zh-CN" w:bidi="ar-SA"/>
              </w:rPr>
            </w:pPr>
          </w:p>
        </w:tc>
        <w:tc>
          <w:tcPr>
            <w:tcW w:w="1044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szCs w:val="21"/>
              </w:rPr>
            </w:pPr>
            <w:r>
              <w:rPr>
                <w:rFonts w:hint="eastAsia"/>
                <w:color w:val="auto"/>
                <w:szCs w:val="21"/>
              </w:rPr>
              <w:t>编制了《</w:t>
            </w:r>
            <w:r>
              <w:rPr>
                <w:rFonts w:hint="eastAsia"/>
                <w:color w:val="auto"/>
              </w:rPr>
              <w:t>外部提供过程控制程序</w:t>
            </w:r>
            <w:r>
              <w:rPr>
                <w:rFonts w:hint="eastAsia"/>
                <w:color w:val="auto"/>
                <w:szCs w:val="21"/>
              </w:rPr>
              <w:t>》，明确了对</w:t>
            </w:r>
            <w:r>
              <w:rPr>
                <w:rFonts w:hint="eastAsia"/>
                <w:color w:val="auto"/>
                <w:szCs w:val="21"/>
                <w:lang w:val="en-US" w:eastAsia="zh-CN"/>
              </w:rPr>
              <w:t>供方</w:t>
            </w:r>
            <w:r>
              <w:rPr>
                <w:rFonts w:hint="eastAsia"/>
                <w:color w:val="auto"/>
                <w:szCs w:val="21"/>
              </w:rPr>
              <w:t>进行定期评价，内容包括：</w:t>
            </w:r>
            <w:r>
              <w:rPr>
                <w:rFonts w:hint="eastAsia"/>
                <w:color w:val="auto"/>
                <w:szCs w:val="21"/>
                <w:lang w:val="en-US" w:eastAsia="zh-CN"/>
              </w:rPr>
              <w:t>供方规模、市场信誉、供货能力；供方的供货期、付款方式；供方质量保证能力</w:t>
            </w:r>
            <w:r>
              <w:rPr>
                <w:rFonts w:hint="eastAsia"/>
                <w:color w:val="auto"/>
                <w:szCs w:val="21"/>
              </w:rPr>
              <w:t>等内容。经由总经理确认后，纳入公司合格供方。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szCs w:val="21"/>
                <w:lang w:val="en-US" w:eastAsia="zh-CN"/>
              </w:rPr>
            </w:pPr>
            <w:r>
              <w:rPr>
                <w:rFonts w:hint="eastAsia"/>
                <w:color w:val="auto"/>
                <w:szCs w:val="21"/>
              </w:rPr>
              <w:t>提供有《合格供方名录》</w:t>
            </w:r>
            <w:r>
              <w:rPr>
                <w:rFonts w:hint="eastAsia"/>
                <w:color w:val="auto"/>
                <w:szCs w:val="21"/>
                <w:lang w:eastAsia="zh-CN"/>
              </w:rPr>
              <w:t>，</w:t>
            </w:r>
            <w:r>
              <w:rPr>
                <w:rFonts w:hint="eastAsia"/>
                <w:color w:val="auto"/>
                <w:szCs w:val="21"/>
                <w:lang w:val="en-US" w:eastAsia="zh-CN"/>
              </w:rPr>
              <w:t>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cs="宋体"/>
                <w:color w:val="auto"/>
                <w:sz w:val="21"/>
                <w:szCs w:val="21"/>
                <w:lang w:val="en-US" w:eastAsia="zh-CN"/>
              </w:rPr>
            </w:pPr>
            <w:r>
              <w:rPr>
                <w:rFonts w:hint="eastAsia" w:cs="宋体"/>
                <w:color w:val="auto"/>
                <w:sz w:val="21"/>
                <w:szCs w:val="21"/>
              </w:rPr>
              <w:t>南昌市富杰机械租赁有限公司</w:t>
            </w:r>
            <w:r>
              <w:rPr>
                <w:rFonts w:hint="eastAsia" w:cs="宋体"/>
                <w:color w:val="auto"/>
                <w:sz w:val="21"/>
                <w:szCs w:val="21"/>
                <w:lang w:eastAsia="zh-CN"/>
              </w:rPr>
              <w:t>——</w:t>
            </w:r>
            <w:r>
              <w:rPr>
                <w:rFonts w:hint="eastAsia" w:cs="宋体"/>
                <w:color w:val="auto"/>
                <w:sz w:val="21"/>
                <w:szCs w:val="21"/>
                <w:lang w:val="en-US" w:eastAsia="zh-CN"/>
              </w:rPr>
              <w:t>工程机械设备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cs="宋体"/>
                <w:color w:val="auto"/>
                <w:sz w:val="21"/>
                <w:szCs w:val="21"/>
                <w:lang w:val="en-US" w:eastAsia="zh-CN"/>
              </w:rPr>
            </w:pPr>
            <w:r>
              <w:rPr>
                <w:rFonts w:hint="eastAsia" w:cs="宋体"/>
                <w:color w:val="auto"/>
                <w:sz w:val="21"/>
                <w:szCs w:val="21"/>
              </w:rPr>
              <w:t>江西汉永新材料股份有限公司</w:t>
            </w:r>
            <w:r>
              <w:rPr>
                <w:rFonts w:hint="eastAsia" w:cs="宋体"/>
                <w:color w:val="auto"/>
                <w:sz w:val="21"/>
                <w:szCs w:val="21"/>
                <w:lang w:eastAsia="zh-CN"/>
              </w:rPr>
              <w:t>——</w:t>
            </w:r>
            <w:r>
              <w:rPr>
                <w:rFonts w:hint="eastAsia" w:cs="宋体"/>
                <w:color w:val="auto"/>
                <w:sz w:val="21"/>
                <w:szCs w:val="21"/>
                <w:lang w:val="en-US" w:eastAsia="zh-CN"/>
              </w:rPr>
              <w:t>电力管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cs="宋体"/>
                <w:color w:val="auto"/>
                <w:sz w:val="21"/>
                <w:szCs w:val="21"/>
                <w:lang w:val="en-US" w:eastAsia="zh-CN"/>
              </w:rPr>
            </w:pPr>
            <w:r>
              <w:rPr>
                <w:rFonts w:hint="eastAsia" w:cs="宋体"/>
                <w:color w:val="auto"/>
                <w:sz w:val="21"/>
                <w:szCs w:val="21"/>
              </w:rPr>
              <w:t>南昌钢锌工程有限公司</w:t>
            </w:r>
            <w:r>
              <w:rPr>
                <w:rFonts w:hint="eastAsia" w:cs="宋体"/>
                <w:color w:val="auto"/>
                <w:sz w:val="21"/>
                <w:szCs w:val="21"/>
                <w:lang w:eastAsia="zh-CN"/>
              </w:rPr>
              <w:t>——</w:t>
            </w:r>
            <w:r>
              <w:rPr>
                <w:rFonts w:hint="eastAsia" w:cs="宋体"/>
                <w:color w:val="auto"/>
                <w:sz w:val="21"/>
                <w:szCs w:val="21"/>
                <w:lang w:val="en-US" w:eastAsia="zh-CN"/>
              </w:rPr>
              <w:t>建材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asciiTheme="minorEastAsia" w:hAnsiTheme="minorEastAsia" w:cstheme="minorEastAsia"/>
                <w:color w:val="auto"/>
                <w:sz w:val="24"/>
                <w:szCs w:val="24"/>
                <w:highlight w:val="yellow"/>
                <w:lang w:val="en-US" w:eastAsia="zh-CN"/>
              </w:rPr>
            </w:pPr>
            <w:r>
              <w:rPr>
                <w:rFonts w:hint="eastAsia" w:cs="宋体"/>
                <w:color w:val="auto"/>
                <w:sz w:val="21"/>
                <w:szCs w:val="21"/>
              </w:rPr>
              <w:t>南昌市睿鹏金属材料有限公司</w:t>
            </w:r>
            <w:r>
              <w:rPr>
                <w:rFonts w:hint="eastAsia" w:cs="宋体"/>
                <w:color w:val="auto"/>
                <w:sz w:val="21"/>
                <w:szCs w:val="21"/>
                <w:lang w:eastAsia="zh-CN"/>
              </w:rPr>
              <w:t>——</w:t>
            </w:r>
            <w:r>
              <w:rPr>
                <w:rFonts w:hint="eastAsia" w:cs="宋体"/>
                <w:color w:val="auto"/>
                <w:sz w:val="21"/>
                <w:szCs w:val="21"/>
                <w:lang w:val="en-US" w:eastAsia="zh-CN"/>
              </w:rPr>
              <w:t>建材</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抽查见：</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sz w:val="21"/>
                <w:szCs w:val="21"/>
                <w:lang w:val="en-US" w:eastAsia="zh-CN"/>
              </w:rPr>
              <w:t>中国电信江西云和大数据中心园区市政雨污水接驳工程材料购销合同，南昌市豫锋焱商贸有限公司签订，2021.7.10；钢筋、砂子(中粗砂)、碎石(综合)、标准砖、塑钢爬梯、木模板、铸铁井盖、井座等；</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2、金牛棚户区改造项目1#、2#地块排污增加污水管工程材料采购合同，江西汉永新材料股份有限公司签订，2021.10.19；HDPE缠绕增强管等；</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3、机械设备租赁合同书，南昌市富杰机械租赁有限公司签订，2020.10.30，勾机、搅拌机、压路机等；</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查见上述合同的“合同签订审批表”，业务部门、合同管理部门、财务部门、风控部门/相关部门、公司分管领导、主要领导参加评审，提出意见并签名；</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介绍说采购产品按合同核对数量、材质单、合格证，验证规格、型号后，在入库单上签字。</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查见“检验报告”，江西省建筑工程质量检测中心出具，电力管材送样检验，江西汉永塑业有限公司提供；</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——采购产品的验证,详见Q8.6。</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暂无劳务分包。</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lang w:val="en-US" w:eastAsia="zh-C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04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szCs w:val="21"/>
              </w:rPr>
              <w:t>顾客或外部供方财产</w:t>
            </w:r>
          </w:p>
        </w:tc>
        <w:tc>
          <w:tcPr>
            <w:tcW w:w="1296" w:type="dxa"/>
            <w:vAlign w:val="center"/>
          </w:tcPr>
          <w:p>
            <w:pPr>
              <w:rPr>
                <w:rFonts w:hint="eastAsia"/>
                <w:b w:val="0"/>
                <w:bCs w:val="0"/>
              </w:rPr>
            </w:pPr>
            <w:r>
              <w:rPr>
                <w:rFonts w:hint="eastAsia"/>
                <w:b w:val="0"/>
                <w:bCs w:val="0"/>
                <w:lang w:val="en-US" w:eastAsia="zh-CN"/>
              </w:rPr>
              <w:t>Q</w:t>
            </w:r>
            <w:r>
              <w:rPr>
                <w:rFonts w:hint="eastAsia"/>
                <w:b w:val="0"/>
                <w:bCs w:val="0"/>
              </w:rPr>
              <w:t>8.5.3</w:t>
            </w:r>
          </w:p>
          <w:p>
            <w:pPr>
              <w:snapToGrid w:val="0"/>
              <w:spacing w:line="360" w:lineRule="auto"/>
              <w:rPr>
                <w:rFonts w:hint="eastAsia" w:ascii="Times New Roman" w:hAnsi="Times New Roman" w:eastAsia="宋体" w:cs="Times New Roman"/>
                <w:b w:val="0"/>
                <w:bCs w:val="0"/>
                <w:spacing w:val="10"/>
                <w:kern w:val="2"/>
                <w:sz w:val="21"/>
                <w:lang w:val="en-US" w:eastAsia="zh-CN" w:bidi="ar-SA"/>
              </w:rPr>
            </w:pPr>
            <w:r>
              <w:rPr>
                <w:rFonts w:hint="eastAsia" w:ascii="宋体" w:hAnsi="宋体"/>
                <w:b w:val="0"/>
                <w:bCs w:val="0"/>
                <w:szCs w:val="21"/>
              </w:rPr>
              <w:t>J</w:t>
            </w:r>
            <w:r>
              <w:rPr>
                <w:rFonts w:ascii="宋体" w:hAnsi="宋体"/>
                <w:b w:val="0"/>
                <w:bCs w:val="0"/>
                <w:szCs w:val="21"/>
              </w:rPr>
              <w:t>10.6</w:t>
            </w:r>
          </w:p>
        </w:tc>
        <w:tc>
          <w:tcPr>
            <w:tcW w:w="10445"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该公司顾客财产主要为顾客提供的技术资料及服务基础文件，由经营部负责做好技术要求及知识产权技术文件的保密工作。</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60" w:firstLineChars="200"/>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未提供相关顾客财产的记录，交流；</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不合格品的控制</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b w:val="0"/>
                <w:bCs w:val="0"/>
                <w:szCs w:val="21"/>
              </w:rPr>
            </w:pPr>
            <w:r>
              <w:rPr>
                <w:rFonts w:hint="eastAsia" w:ascii="宋体" w:hAnsi="宋体"/>
                <w:b w:val="0"/>
                <w:bCs w:val="0"/>
                <w:szCs w:val="21"/>
              </w:rPr>
              <w:t>Q8.7</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b w:val="0"/>
                <w:bCs w:val="0"/>
                <w:szCs w:val="21"/>
              </w:rPr>
            </w:pPr>
            <w:r>
              <w:rPr>
                <w:rFonts w:hint="eastAsia" w:ascii="宋体" w:hAnsi="宋体"/>
                <w:b w:val="0"/>
                <w:bCs w:val="0"/>
                <w:szCs w:val="21"/>
              </w:rPr>
              <w:t>J8.3</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b w:val="0"/>
                <w:bCs w:val="0"/>
                <w:szCs w:val="21"/>
              </w:rPr>
            </w:pPr>
            <w:r>
              <w:rPr>
                <w:rFonts w:hint="eastAsia" w:ascii="宋体" w:hAnsi="宋体"/>
                <w:b w:val="0"/>
                <w:bCs w:val="0"/>
                <w:szCs w:val="21"/>
              </w:rPr>
              <w:t>J 8.5</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b w:val="0"/>
                <w:bCs w:val="0"/>
                <w:szCs w:val="21"/>
              </w:rPr>
            </w:pPr>
            <w:r>
              <w:rPr>
                <w:rFonts w:hint="eastAsia" w:ascii="宋体" w:hAnsi="宋体"/>
                <w:b w:val="0"/>
                <w:bCs w:val="0"/>
                <w:szCs w:val="21"/>
              </w:rPr>
              <w:t>J 9.4</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b w:val="0"/>
                <w:bCs w:val="0"/>
                <w:szCs w:val="21"/>
              </w:rPr>
              <w:t>J 11.5</w:t>
            </w:r>
          </w:p>
        </w:tc>
        <w:tc>
          <w:tcPr>
            <w:tcW w:w="1044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质量问题处理依据《不符合控制程序》，对不合格品和不符合的识别和控制有明确的规定。规定了对不合格处置方法：返工、返修、报废等。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部门负责人介绍：实际施工过程中，工程部会同项目部的技术负责人组成检查组，定期或不定期对公司在建项目进行检查，检查包括施工质量、环境、安全等内容。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项目部配合工程部对重大不合格工程产品的评审和处置，总经理负责对质量事故的奖罚和事故责任追究。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公司对施工过程发生的不合格品，一般轻微不合格现场指出，及时整改。目前为止项目部未发生比较大的质量不合格品，一般的轻微不符合都在现场及时解决了，未发现有需要上报公司解决的不合格。</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40"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顾客满意度调查</w:t>
            </w:r>
          </w:p>
        </w:tc>
        <w:tc>
          <w:tcPr>
            <w:tcW w:w="129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J10.7</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Q9.1.2</w:t>
            </w:r>
          </w:p>
        </w:tc>
        <w:tc>
          <w:tcPr>
            <w:tcW w:w="1044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制定并执行《顾客满意监视和测量程序》；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公司通过电话，</w:t>
            </w:r>
            <w:r>
              <w:rPr>
                <w:rFonts w:hint="eastAsia" w:asciiTheme="minorEastAsia" w:hAnsiTheme="minorEastAsia" w:eastAsiaTheme="minorEastAsia" w:cstheme="minorEastAsia"/>
                <w:szCs w:val="21"/>
                <w:lang w:val="en-US" w:eastAsia="zh-CN"/>
              </w:rPr>
              <w:t>回</w:t>
            </w:r>
            <w:r>
              <w:rPr>
                <w:rFonts w:hint="eastAsia" w:asciiTheme="minorEastAsia" w:hAnsiTheme="minorEastAsia" w:eastAsiaTheme="minorEastAsia" w:cstheme="minorEastAsia"/>
                <w:szCs w:val="21"/>
                <w:lang w:val="zh-CN" w:eastAsia="zh-CN"/>
              </w:rPr>
              <w:t>访等形式，接受顾客反馈，了解顾客满意度信息，</w:t>
            </w:r>
            <w:r>
              <w:rPr>
                <w:rFonts w:hint="eastAsia" w:asciiTheme="minorEastAsia" w:hAnsiTheme="minorEastAsia" w:eastAsiaTheme="minorEastAsia" w:cstheme="minorEastAsia"/>
                <w:szCs w:val="21"/>
                <w:lang w:val="en-US" w:eastAsia="zh-CN"/>
              </w:rPr>
              <w:t>在产品交付后，</w:t>
            </w:r>
            <w:r>
              <w:rPr>
                <w:rFonts w:hint="eastAsia" w:asciiTheme="minorEastAsia" w:hAnsiTheme="minorEastAsia" w:eastAsiaTheme="minorEastAsia" w:cstheme="minorEastAsia"/>
                <w:szCs w:val="21"/>
                <w:lang w:val="zh-CN" w:eastAsia="zh-CN"/>
              </w:rPr>
              <w:t>发放调查表对顾客满意度进行测量。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en-US" w:eastAsia="zh-CN"/>
              </w:rPr>
              <w:t>查见</w:t>
            </w:r>
            <w:r>
              <w:rPr>
                <w:rFonts w:hint="eastAsia" w:asciiTheme="minorEastAsia" w:hAnsiTheme="minorEastAsia" w:eastAsiaTheme="minorEastAsia" w:cstheme="minorEastAsia"/>
                <w:szCs w:val="21"/>
                <w:lang w:val="zh-CN" w:eastAsia="zh-CN"/>
              </w:rPr>
              <w:t>“顾客满意程度调查表”，调查主要内容：</w:t>
            </w:r>
            <w:r>
              <w:rPr>
                <w:rFonts w:hint="eastAsia" w:asciiTheme="minorEastAsia" w:hAnsiTheme="minorEastAsia" w:eastAsiaTheme="minorEastAsia" w:cstheme="minorEastAsia"/>
                <w:szCs w:val="21"/>
                <w:lang w:val="en-US" w:eastAsia="zh-CN"/>
              </w:rPr>
              <w:t>质量、价格、交货期、支持服务、售后服务的满意程度</w:t>
            </w:r>
            <w:r>
              <w:rPr>
                <w:rFonts w:hint="eastAsia" w:asciiTheme="minorEastAsia" w:hAnsiTheme="minorEastAsia" w:eastAsiaTheme="minorEastAsia" w:cstheme="minorEastAsia"/>
                <w:szCs w:val="21"/>
                <w:lang w:val="zh-CN"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抽查客户的满意度调查：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en-US" w:eastAsia="zh-CN"/>
              </w:rPr>
              <w:t>顾客名称：南昌市昌北开放开发区开发建设总公司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顾客名称：南昌金开城建实业有限公司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以上调查时间为2021年9月20日--2021年9月30日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2021年共对2个顾客进行满意度调查，并进行满意度分析。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查见《顾客满意度调查分析报告》，2021.9.30，经计算顾客满意率为98%，达到了目标要求。</w:t>
            </w:r>
          </w:p>
        </w:tc>
        <w:tc>
          <w:tcPr>
            <w:tcW w:w="92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lang w:val="en-US" w:eastAsia="zh-CN"/>
              </w:rPr>
              <w:t>OK</w:t>
            </w:r>
          </w:p>
        </w:tc>
      </w:tr>
    </w:tbl>
    <w:p>
      <w:pPr>
        <w:pStyle w:val="9"/>
      </w:pPr>
      <w:r>
        <w:ptab w:relativeTo="margin" w:alignment="center" w:leader="none"/>
      </w:r>
    </w:p>
    <w:p>
      <w:pPr>
        <w:pStyle w:val="9"/>
      </w:pPr>
    </w:p>
    <w:p>
      <w:pPr>
        <w:pStyle w:val="9"/>
      </w:pPr>
    </w:p>
    <w:p>
      <w:pPr>
        <w:pStyle w:val="9"/>
      </w:pPr>
    </w:p>
    <w:p>
      <w:pPr>
        <w:pStyle w:val="9"/>
      </w:pPr>
    </w:p>
    <w:p>
      <w:pPr>
        <w:pStyle w:val="9"/>
      </w:pPr>
    </w:p>
    <w:p>
      <w:pPr>
        <w:pStyle w:val="9"/>
        <w:rPr>
          <w:rFonts w:hint="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UniversalMath1 BT">
    <w:altName w:val="微软雅黑"/>
    <w:panose1 w:val="05050102010205020602"/>
    <w:charset w:val="02"/>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8"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IWJRdjEAQAAegMAAA4AAAAAAAAAAQAgAAAAJQEAAGRycy9lMm9E&#10;b2MueG1sUEsFBgAAAAAGAAYAWQEAAFs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13EA5"/>
    <w:rsid w:val="025D4824"/>
    <w:rsid w:val="030752FF"/>
    <w:rsid w:val="03433018"/>
    <w:rsid w:val="03935A59"/>
    <w:rsid w:val="04454E38"/>
    <w:rsid w:val="06B12DFD"/>
    <w:rsid w:val="07F9333D"/>
    <w:rsid w:val="08B6610D"/>
    <w:rsid w:val="09E91723"/>
    <w:rsid w:val="0CEB7FAE"/>
    <w:rsid w:val="0D5E3C9B"/>
    <w:rsid w:val="0D7E16DC"/>
    <w:rsid w:val="108F36CF"/>
    <w:rsid w:val="12EA5D8F"/>
    <w:rsid w:val="146F79B0"/>
    <w:rsid w:val="14F45A91"/>
    <w:rsid w:val="16005A5A"/>
    <w:rsid w:val="165100F2"/>
    <w:rsid w:val="16F65375"/>
    <w:rsid w:val="17702FF7"/>
    <w:rsid w:val="19F95598"/>
    <w:rsid w:val="1B044E81"/>
    <w:rsid w:val="1B6E7F88"/>
    <w:rsid w:val="1B84436A"/>
    <w:rsid w:val="1BCE2444"/>
    <w:rsid w:val="1BFA1AB5"/>
    <w:rsid w:val="1C59092A"/>
    <w:rsid w:val="1C9E2E28"/>
    <w:rsid w:val="1E6F4624"/>
    <w:rsid w:val="1F8B4F93"/>
    <w:rsid w:val="1FCB777C"/>
    <w:rsid w:val="24240638"/>
    <w:rsid w:val="27E51B08"/>
    <w:rsid w:val="28774126"/>
    <w:rsid w:val="293E148F"/>
    <w:rsid w:val="2B770729"/>
    <w:rsid w:val="2EF4346F"/>
    <w:rsid w:val="35C801FD"/>
    <w:rsid w:val="361D6F7A"/>
    <w:rsid w:val="36734D74"/>
    <w:rsid w:val="375F3BF6"/>
    <w:rsid w:val="39AB2061"/>
    <w:rsid w:val="3E4B2F92"/>
    <w:rsid w:val="4153656A"/>
    <w:rsid w:val="41844B92"/>
    <w:rsid w:val="41FE2D14"/>
    <w:rsid w:val="44001DF6"/>
    <w:rsid w:val="449A024D"/>
    <w:rsid w:val="44EB1A86"/>
    <w:rsid w:val="45653DBC"/>
    <w:rsid w:val="465D73E1"/>
    <w:rsid w:val="48E27A8D"/>
    <w:rsid w:val="48F604C8"/>
    <w:rsid w:val="4952216F"/>
    <w:rsid w:val="49DB7908"/>
    <w:rsid w:val="4BC97408"/>
    <w:rsid w:val="4C025969"/>
    <w:rsid w:val="4CF415F3"/>
    <w:rsid w:val="4D364BD3"/>
    <w:rsid w:val="4D5834A4"/>
    <w:rsid w:val="4DC70785"/>
    <w:rsid w:val="504E40C6"/>
    <w:rsid w:val="51D0006C"/>
    <w:rsid w:val="54E70271"/>
    <w:rsid w:val="5521762C"/>
    <w:rsid w:val="559A748B"/>
    <w:rsid w:val="55FB00A4"/>
    <w:rsid w:val="5645192B"/>
    <w:rsid w:val="59B84710"/>
    <w:rsid w:val="5A0E58C0"/>
    <w:rsid w:val="61223076"/>
    <w:rsid w:val="62121FBD"/>
    <w:rsid w:val="670A7B0C"/>
    <w:rsid w:val="6727325D"/>
    <w:rsid w:val="679C517A"/>
    <w:rsid w:val="687A0163"/>
    <w:rsid w:val="6B7F2D03"/>
    <w:rsid w:val="6CE65EC8"/>
    <w:rsid w:val="6CFE601E"/>
    <w:rsid w:val="6EC766F4"/>
    <w:rsid w:val="724A15EA"/>
    <w:rsid w:val="7350702A"/>
    <w:rsid w:val="73A55131"/>
    <w:rsid w:val="749D5887"/>
    <w:rsid w:val="75E81A41"/>
    <w:rsid w:val="77207211"/>
    <w:rsid w:val="77394D2D"/>
    <w:rsid w:val="77792F75"/>
    <w:rsid w:val="78F462DF"/>
    <w:rsid w:val="79004FCD"/>
    <w:rsid w:val="7EDB2770"/>
    <w:rsid w:val="7F282154"/>
    <w:rsid w:val="7F3B21FB"/>
    <w:rsid w:val="7FB45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500" w:lineRule="exact"/>
    </w:pPr>
    <w:rPr>
      <w:rFonts w:ascii="仿宋_GB2312" w:eastAsia="仿宋_GB2312"/>
      <w:spacing w:val="20"/>
      <w:sz w:val="28"/>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eastAsiaTheme="minorEastAsia" w:cstheme="minorBidi"/>
    </w:rPr>
  </w:style>
  <w:style w:type="paragraph" w:styleId="7">
    <w:name w:val="Date"/>
    <w:basedOn w:val="1"/>
    <w:next w:val="1"/>
    <w:qFormat/>
    <w:uiPriority w:val="0"/>
    <w:rPr>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heme="minorHAnsi" w:hAnsiTheme="minorHAnsi" w:eastAsiaTheme="minorEastAsia" w:cstheme="minorBidi"/>
    </w:rPr>
  </w:style>
  <w:style w:type="paragraph" w:styleId="12">
    <w:name w:val="Body Text First Indent 2"/>
    <w:basedOn w:val="5"/>
    <w:unhideWhenUsed/>
    <w:qFormat/>
    <w:uiPriority w:val="99"/>
    <w:pPr>
      <w:ind w:firstLine="420" w:firstLineChars="200"/>
    </w:pPr>
    <w:rPr>
      <w:szCs w:val="24"/>
    </w:rPr>
  </w:style>
  <w:style w:type="character" w:customStyle="1" w:styleId="15">
    <w:name w:val="页眉 字符"/>
    <w:basedOn w:val="14"/>
    <w:link w:val="10"/>
    <w:qFormat/>
    <w:uiPriority w:val="99"/>
    <w:rPr>
      <w:rFonts w:ascii="Times New Roman" w:hAnsi="Times New Roman" w:eastAsia="宋体" w:cs="Times New Roman"/>
      <w:sz w:val="18"/>
      <w:szCs w:val="18"/>
    </w:rPr>
  </w:style>
  <w:style w:type="character" w:customStyle="1" w:styleId="16">
    <w:name w:val="页脚 字符"/>
    <w:basedOn w:val="14"/>
    <w:link w:val="9"/>
    <w:qFormat/>
    <w:uiPriority w:val="99"/>
    <w:rPr>
      <w:rFonts w:ascii="Times New Roman" w:hAnsi="Times New Roman" w:eastAsia="宋体" w:cs="Times New Roman"/>
      <w:sz w:val="18"/>
      <w:szCs w:val="18"/>
    </w:rPr>
  </w:style>
  <w:style w:type="character" w:customStyle="1" w:styleId="17">
    <w:name w:val="批注框文本 字符"/>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表内文字"/>
    <w:basedOn w:val="1"/>
    <w:qFormat/>
    <w:uiPriority w:val="0"/>
    <w:pPr>
      <w:adjustRightInd w:val="0"/>
      <w:spacing w:line="240" w:lineRule="atLeast"/>
    </w:pPr>
    <w:rPr>
      <w:rFonts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92</TotalTime>
  <ScaleCrop>false</ScaleCrop>
  <LinksUpToDate>false</LinksUpToDate>
  <CharactersWithSpaces>151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2021-12-22T12:33:13Z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8F49E2F4A694473EBB179C0C4C9ACF57</vt:lpwstr>
  </property>
</Properties>
</file>