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24"/>
        </w:rPr>
      </w:pPr>
      <w:r>
        <w:rPr>
          <w:b/>
          <w:bCs/>
          <w:sz w:val="24"/>
        </w:rPr>
        <w:t>附录A：</w:t>
      </w:r>
    </w:p>
    <w:p>
      <w:pPr>
        <w:pStyle w:val="2"/>
        <w:spacing w:line="240" w:lineRule="auto"/>
        <w:jc w:val="center"/>
        <w:rPr>
          <w:b/>
          <w:bCs/>
          <w:snapToGrid w:val="0"/>
          <w:kern w:val="0"/>
          <w:sz w:val="24"/>
        </w:rPr>
      </w:pPr>
      <w:r>
        <w:rPr>
          <w:rFonts w:hint="eastAsia"/>
          <w:b/>
          <w:bCs/>
          <w:sz w:val="24"/>
        </w:rPr>
        <w:t>冷水水表电压变化</w:t>
      </w:r>
      <w:r>
        <w:rPr>
          <w:b/>
          <w:bCs/>
          <w:sz w:val="24"/>
        </w:rPr>
        <w:t>测量</w:t>
      </w:r>
      <w:r>
        <w:rPr>
          <w:b/>
          <w:bCs/>
          <w:snapToGrid w:val="0"/>
          <w:kern w:val="0"/>
          <w:sz w:val="24"/>
        </w:rPr>
        <w:t>不确定度评定报告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JJG162-2009冷水水表</w:t>
      </w:r>
      <w:r>
        <w:rPr>
          <w:sz w:val="24"/>
        </w:rPr>
        <w:t>及仪器使用说明书和相关操作规范</w:t>
      </w:r>
      <w:r>
        <w:rPr>
          <w:bCs/>
          <w:sz w:val="24"/>
        </w:rPr>
        <w:t>进行测量。</w:t>
      </w:r>
    </w:p>
    <w:p>
      <w:pPr>
        <w:spacing w:line="360" w:lineRule="auto"/>
        <w:rPr>
          <w:sz w:val="24"/>
        </w:rPr>
      </w:pPr>
      <w:r>
        <w:rPr>
          <w:color w:val="000000" w:themeColor="text1"/>
          <w:sz w:val="24"/>
          <w14:textFill>
            <w14:solidFill>
              <w14:schemeClr w14:val="tx1"/>
            </w14:solidFill>
          </w14:textFill>
        </w:rPr>
        <w:t>1.2、环境条件：</w:t>
      </w:r>
      <w:r>
        <w:rPr>
          <w:rFonts w:hint="eastAsia"/>
          <w:sz w:val="24"/>
        </w:rPr>
        <w:t>常温</w:t>
      </w:r>
    </w:p>
    <w:p>
      <w:pPr>
        <w:spacing w:line="360" w:lineRule="auto"/>
        <w:rPr>
          <w:rFonts w:hint="eastAsia" w:ascii="Times New Roman" w:hAnsi="Times New Roman" w:cs="Times New Roman"/>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1.3、检测设备：</w:t>
      </w:r>
      <w:r>
        <w:rPr>
          <w:sz w:val="24"/>
          <w:lang w:bidi="ar"/>
        </w:rPr>
        <w:t>数字万用表</w:t>
      </w:r>
      <w:r>
        <w:rPr>
          <w:sz w:val="24"/>
        </w:rPr>
        <w:t>，测量范围(0～</w:t>
      </w:r>
      <w:r>
        <w:rPr>
          <w:rFonts w:hint="eastAsia"/>
          <w:sz w:val="24"/>
        </w:rPr>
        <w:t>1000</w:t>
      </w:r>
      <w:r>
        <w:rPr>
          <w:sz w:val="24"/>
        </w:rPr>
        <w:t>)</w:t>
      </w:r>
      <w:r>
        <w:rPr>
          <w:rFonts w:hint="eastAsia" w:ascii="Times New Roman" w:hAnsi="Times New Roman" w:cs="Times New Roman"/>
          <w:color w:val="000000" w:themeColor="text1"/>
          <w:sz w:val="24"/>
          <w14:textFill>
            <w14:solidFill>
              <w14:schemeClr w14:val="tx1"/>
            </w14:solidFill>
          </w14:textFill>
        </w:rPr>
        <w:t>V</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2</w:t>
      </w:r>
      <w:bookmarkStart w:id="1" w:name="_GoBack"/>
      <w:bookmarkEnd w:id="1"/>
      <w:r>
        <w:rPr>
          <w:rFonts w:hint="eastAsia" w:ascii="Times New Roman" w:hAnsi="Times New Roman" w:cs="Times New Roman"/>
          <w:color w:val="000000" w:themeColor="text1"/>
          <w:sz w:val="24"/>
          <w:lang w:val="en-US" w:eastAsia="zh-CN"/>
          <w14:textFill>
            <w14:solidFill>
              <w14:schemeClr w14:val="tx1"/>
            </w14:solidFill>
          </w14:textFill>
        </w:rPr>
        <w:t>V误差为：0.008V</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sz w:val="24"/>
        </w:rPr>
        <w:t>电压（3.6±0.1）V</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1.5、测量过程：将被测件稳固放置，</w:t>
      </w:r>
      <w:r>
        <w:rPr>
          <w:rFonts w:hint="eastAsia"/>
          <w:color w:val="000000" w:themeColor="text1"/>
          <w:sz w:val="24"/>
          <w14:textFill>
            <w14:solidFill>
              <w14:schemeClr w14:val="tx1"/>
            </w14:solidFill>
          </w14:textFill>
        </w:rPr>
        <w:t>数字万用表选择电压档，红笔黑笔分别插到相应的孔内。进行测量，</w:t>
      </w:r>
      <w:r>
        <w:rPr>
          <w:sz w:val="24"/>
        </w:rPr>
        <w:t>记录数据</w:t>
      </w:r>
      <w:r>
        <w:rPr>
          <w:rFonts w:hint="eastAsia"/>
          <w:sz w:val="24"/>
        </w:rPr>
        <w:t>。</w:t>
      </w:r>
    </w:p>
    <w:p>
      <w:pPr>
        <w:pStyle w:val="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w:rPr>
            <w:rFonts w:ascii="Cambria Math" w:hAnsi="Cambria Math"/>
            <w:position w:val="-4"/>
            <w:sz w:val="24"/>
          </w:rPr>
          <m:t>ΔL=L</m:t>
        </m:r>
      </m:oMath>
      <w:r>
        <w:rPr>
          <w:sz w:val="24"/>
        </w:rPr>
        <w:t xml:space="preserve">                                 </w:t>
      </w:r>
    </w:p>
    <w:p>
      <w:pPr>
        <w:spacing w:line="360" w:lineRule="auto"/>
        <w:ind w:firstLine="720" w:firstLineChars="300"/>
        <w:rPr>
          <w:sz w:val="24"/>
        </w:rPr>
      </w:pPr>
      <w:r>
        <w:rPr>
          <w:sz w:val="24"/>
        </w:rPr>
        <w:t>式中：</w:t>
      </w:r>
      <m:oMath>
        <m:r>
          <w:rPr>
            <w:rFonts w:ascii="Cambria Math" w:hAnsi="Cambria Math"/>
            <w:position w:val="-4"/>
            <w:sz w:val="24"/>
          </w:rPr>
          <m:t>ΔL</m:t>
        </m:r>
      </m:oMath>
      <w:r>
        <w:rPr>
          <w:sz w:val="24"/>
        </w:rPr>
        <w:t xml:space="preserve"> ---</w:t>
      </w:r>
      <w:r>
        <w:rPr>
          <w:rFonts w:hint="eastAsia"/>
          <w:sz w:val="24"/>
        </w:rPr>
        <w:t>电压</w:t>
      </w:r>
      <w:r>
        <w:rPr>
          <w:kern w:val="0"/>
          <w:sz w:val="24"/>
        </w:rPr>
        <w:t>测量结果</w:t>
      </w:r>
    </w:p>
    <w:p>
      <w:pPr>
        <w:pStyle w:val="9"/>
        <w:spacing w:line="360" w:lineRule="auto"/>
        <w:ind w:firstLine="1440" w:firstLineChars="600"/>
        <w:rPr>
          <w:sz w:val="24"/>
        </w:rPr>
      </w:pPr>
      <w:r>
        <w:rPr>
          <w:sz w:val="24"/>
        </w:rPr>
        <w:t>L----</w:t>
      </w:r>
      <w:r>
        <w:rPr>
          <w:rFonts w:hint="eastAsia"/>
          <w:sz w:val="24"/>
        </w:rPr>
        <w:t>电压</w:t>
      </w:r>
      <w:r>
        <w:rPr>
          <w:sz w:val="24"/>
        </w:rPr>
        <w:t>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5" o:spt="75" type="#_x0000_t75" style="height:16.4pt;width:12.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4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sz w:val="24"/>
        </w:rPr>
        <w:t>。</w:t>
      </w:r>
    </w:p>
    <w:p>
      <w:pPr>
        <w:rPr>
          <w:sz w:val="24"/>
        </w:rPr>
      </w:pPr>
      <w:r>
        <w:rPr>
          <w:sz w:val="24"/>
        </w:rPr>
        <w:t>3.1测量重复性引起的标准不确定度</w:t>
      </w:r>
      <w:r>
        <w:rPr>
          <w:position w:val="-10"/>
          <w:sz w:val="24"/>
        </w:rPr>
        <w:object>
          <v:shape id="_x0000_i1027" o:spt="75" type="#_x0000_t75" style="height:16.4pt;width:12.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rPr>
        <w:t>数字万用表</w:t>
      </w:r>
      <w:r>
        <w:rPr>
          <w:sz w:val="24"/>
        </w:rPr>
        <w:t>正常工作状态下，用同一台设备，在相临近的时间内，对被测试件连续测量10次，得10个测量数据汇于表1：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sz w:val="24"/>
              </w:rPr>
            </w:pPr>
            <w:r>
              <w:rPr>
                <w:sz w:val="24"/>
              </w:rPr>
              <w:t>序号</w:t>
            </w:r>
          </w:p>
        </w:tc>
        <w:tc>
          <w:tcPr>
            <w:tcW w:w="773"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773" w:type="dxa"/>
            <w:vAlign w:val="center"/>
          </w:tcPr>
          <w:p>
            <w:pPr>
              <w:widowControl/>
              <w:adjustRightInd w:val="0"/>
              <w:spacing w:line="360" w:lineRule="auto"/>
              <w:ind w:left="252"/>
              <w:jc w:val="center"/>
              <w:rPr>
                <w:sz w:val="24"/>
              </w:rPr>
            </w:pPr>
            <w:r>
              <w:rPr>
                <w:sz w:val="24"/>
              </w:rPr>
              <w:t>3</w:t>
            </w:r>
          </w:p>
        </w:tc>
        <w:tc>
          <w:tcPr>
            <w:tcW w:w="773" w:type="dxa"/>
            <w:vAlign w:val="center"/>
          </w:tcPr>
          <w:p>
            <w:pPr>
              <w:widowControl/>
              <w:adjustRightInd w:val="0"/>
              <w:spacing w:line="360" w:lineRule="auto"/>
              <w:ind w:firstLine="120" w:firstLineChars="50"/>
              <w:jc w:val="center"/>
              <w:rPr>
                <w:sz w:val="24"/>
              </w:rPr>
            </w:pPr>
            <w:r>
              <w:rPr>
                <w:sz w:val="24"/>
              </w:rPr>
              <w:t>4</w:t>
            </w:r>
          </w:p>
        </w:tc>
        <w:tc>
          <w:tcPr>
            <w:tcW w:w="773"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sz w:val="24"/>
              </w:rPr>
            </w:pPr>
            <w:r>
              <w:rPr>
                <w:sz w:val="24"/>
              </w:rPr>
              <w:t>L读数值(</w:t>
            </w:r>
            <w:r>
              <w:rPr>
                <w:rFonts w:hint="eastAsia"/>
                <w:sz w:val="24"/>
              </w:rPr>
              <w:t>V</w:t>
            </w:r>
            <w:r>
              <w:rPr>
                <w:sz w:val="24"/>
              </w:rPr>
              <w:t>)</w:t>
            </w:r>
          </w:p>
        </w:tc>
        <w:tc>
          <w:tcPr>
            <w:tcW w:w="773" w:type="dxa"/>
            <w:vAlign w:val="center"/>
          </w:tcPr>
          <w:p>
            <w:pPr>
              <w:jc w:val="center"/>
              <w:rPr>
                <w:kern w:val="0"/>
                <w:sz w:val="24"/>
              </w:rPr>
            </w:pPr>
            <w:r>
              <w:rPr>
                <w:rFonts w:hint="eastAsia"/>
                <w:kern w:val="0"/>
                <w:sz w:val="24"/>
              </w:rPr>
              <w:t>3.6</w:t>
            </w:r>
            <w:r>
              <w:rPr>
                <w:kern w:val="0"/>
                <w:sz w:val="24"/>
              </w:rPr>
              <w:t>2</w:t>
            </w:r>
          </w:p>
        </w:tc>
        <w:tc>
          <w:tcPr>
            <w:tcW w:w="773" w:type="dxa"/>
            <w:vAlign w:val="center"/>
          </w:tcPr>
          <w:p>
            <w:pPr>
              <w:rPr>
                <w:kern w:val="0"/>
                <w:sz w:val="24"/>
              </w:rPr>
            </w:pPr>
            <w:r>
              <w:rPr>
                <w:rFonts w:hint="eastAsia"/>
                <w:kern w:val="0"/>
                <w:sz w:val="24"/>
              </w:rPr>
              <w:t>3.6</w:t>
            </w:r>
            <w:r>
              <w:rPr>
                <w:kern w:val="0"/>
                <w:sz w:val="24"/>
              </w:rPr>
              <w:t>1</w:t>
            </w:r>
          </w:p>
        </w:tc>
        <w:tc>
          <w:tcPr>
            <w:tcW w:w="773" w:type="dxa"/>
            <w:vAlign w:val="center"/>
          </w:tcPr>
          <w:p>
            <w:pPr>
              <w:jc w:val="center"/>
              <w:rPr>
                <w:kern w:val="0"/>
                <w:sz w:val="24"/>
              </w:rPr>
            </w:pPr>
            <w:r>
              <w:rPr>
                <w:rFonts w:hint="eastAsia"/>
                <w:kern w:val="0"/>
                <w:sz w:val="24"/>
              </w:rPr>
              <w:t>3.6</w:t>
            </w:r>
            <w:r>
              <w:rPr>
                <w:kern w:val="0"/>
                <w:sz w:val="24"/>
              </w:rPr>
              <w:t>1</w:t>
            </w:r>
          </w:p>
        </w:tc>
        <w:tc>
          <w:tcPr>
            <w:tcW w:w="773" w:type="dxa"/>
            <w:vAlign w:val="center"/>
          </w:tcPr>
          <w:p>
            <w:pPr>
              <w:jc w:val="center"/>
              <w:rPr>
                <w:kern w:val="0"/>
                <w:sz w:val="24"/>
              </w:rPr>
            </w:pPr>
            <w:r>
              <w:rPr>
                <w:rFonts w:hint="eastAsia"/>
                <w:kern w:val="0"/>
                <w:sz w:val="24"/>
              </w:rPr>
              <w:t>3.6</w:t>
            </w:r>
            <w:r>
              <w:rPr>
                <w:kern w:val="0"/>
                <w:sz w:val="24"/>
              </w:rPr>
              <w:t>3</w:t>
            </w:r>
          </w:p>
        </w:tc>
        <w:tc>
          <w:tcPr>
            <w:tcW w:w="773" w:type="dxa"/>
            <w:vAlign w:val="center"/>
          </w:tcPr>
          <w:p>
            <w:pPr>
              <w:jc w:val="center"/>
              <w:rPr>
                <w:kern w:val="0"/>
                <w:sz w:val="24"/>
              </w:rPr>
            </w:pPr>
            <w:r>
              <w:rPr>
                <w:rFonts w:hint="eastAsia"/>
                <w:kern w:val="0"/>
                <w:sz w:val="24"/>
              </w:rPr>
              <w:t>3.6</w:t>
            </w:r>
            <w:r>
              <w:rPr>
                <w:kern w:val="0"/>
                <w:sz w:val="24"/>
              </w:rPr>
              <w:t>3</w:t>
            </w:r>
          </w:p>
        </w:tc>
        <w:tc>
          <w:tcPr>
            <w:tcW w:w="773" w:type="dxa"/>
            <w:vAlign w:val="center"/>
          </w:tcPr>
          <w:p>
            <w:pPr>
              <w:jc w:val="center"/>
              <w:rPr>
                <w:kern w:val="0"/>
                <w:sz w:val="24"/>
              </w:rPr>
            </w:pPr>
            <w:r>
              <w:rPr>
                <w:rFonts w:hint="eastAsia"/>
                <w:kern w:val="0"/>
                <w:sz w:val="24"/>
              </w:rPr>
              <w:t>3.61</w:t>
            </w:r>
          </w:p>
        </w:tc>
        <w:tc>
          <w:tcPr>
            <w:tcW w:w="773" w:type="dxa"/>
            <w:vAlign w:val="center"/>
          </w:tcPr>
          <w:p>
            <w:pPr>
              <w:jc w:val="center"/>
              <w:rPr>
                <w:kern w:val="0"/>
                <w:sz w:val="24"/>
              </w:rPr>
            </w:pPr>
            <w:r>
              <w:rPr>
                <w:rFonts w:hint="eastAsia"/>
                <w:kern w:val="0"/>
                <w:sz w:val="24"/>
              </w:rPr>
              <w:t>3.62</w:t>
            </w:r>
          </w:p>
        </w:tc>
        <w:tc>
          <w:tcPr>
            <w:tcW w:w="773" w:type="dxa"/>
            <w:vAlign w:val="center"/>
          </w:tcPr>
          <w:p>
            <w:pPr>
              <w:jc w:val="center"/>
              <w:rPr>
                <w:kern w:val="0"/>
                <w:sz w:val="24"/>
              </w:rPr>
            </w:pPr>
            <w:r>
              <w:rPr>
                <w:rFonts w:hint="eastAsia"/>
                <w:kern w:val="0"/>
                <w:sz w:val="24"/>
              </w:rPr>
              <w:t>3.62</w:t>
            </w:r>
          </w:p>
        </w:tc>
        <w:tc>
          <w:tcPr>
            <w:tcW w:w="773" w:type="dxa"/>
            <w:vAlign w:val="center"/>
          </w:tcPr>
          <w:p>
            <w:pPr>
              <w:jc w:val="center"/>
              <w:rPr>
                <w:kern w:val="0"/>
                <w:sz w:val="24"/>
              </w:rPr>
            </w:pPr>
            <w:r>
              <w:rPr>
                <w:rFonts w:hint="eastAsia"/>
                <w:kern w:val="0"/>
                <w:sz w:val="24"/>
              </w:rPr>
              <w:t>3.62</w:t>
            </w:r>
          </w:p>
        </w:tc>
        <w:tc>
          <w:tcPr>
            <w:tcW w:w="775" w:type="dxa"/>
            <w:vAlign w:val="center"/>
          </w:tcPr>
          <w:p>
            <w:pPr>
              <w:jc w:val="center"/>
              <w:rPr>
                <w:kern w:val="0"/>
                <w:sz w:val="24"/>
              </w:rPr>
            </w:pPr>
            <w:r>
              <w:rPr>
                <w:rFonts w:hint="eastAsia"/>
                <w:kern w:val="0"/>
                <w:sz w:val="24"/>
              </w:rPr>
              <w:t>3.6</w:t>
            </w:r>
            <w:r>
              <w:rPr>
                <w:kern w:val="0"/>
                <w:sz w:val="24"/>
              </w:rPr>
              <w:t>1</w:t>
            </w:r>
          </w:p>
        </w:tc>
      </w:tr>
    </w:tbl>
    <w:p>
      <w:pPr>
        <w:spacing w:line="360" w:lineRule="auto"/>
        <w:ind w:firstLine="720" w:firstLineChars="300"/>
        <w:rPr>
          <w:sz w:val="24"/>
        </w:rPr>
      </w:pPr>
      <w:r>
        <w:rPr>
          <w:sz w:val="24"/>
        </w:rPr>
        <w:t>被测试件测量值的平均值：</w:t>
      </w:r>
      <w:r>
        <w:rPr>
          <w:position w:val="-24"/>
          <w:sz w:val="24"/>
        </w:rPr>
        <w:object>
          <v:shape id="_x0000_i1028" o:spt="75" type="#_x0000_t75" style="height:36.35pt;width:113.35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p>
    <w:p>
      <w:pPr>
        <w:tabs>
          <w:tab w:val="left" w:pos="2489"/>
        </w:tabs>
        <w:spacing w:line="360" w:lineRule="auto"/>
        <w:ind w:left="780" w:firstLine="1920" w:firstLineChars="800"/>
        <w:rPr>
          <w:color w:val="0D0D0D" w:themeColor="text1" w:themeTint="F2"/>
          <w:sz w:val="24"/>
          <w14:textFill>
            <w14:solidFill>
              <w14:schemeClr w14:val="tx1">
                <w14:lumMod w14:val="95000"/>
                <w14:lumOff w14:val="5000"/>
              </w14:schemeClr>
            </w14:solidFill>
          </w14:textFill>
        </w:rPr>
      </w:pPr>
      <w:r>
        <w:rPr>
          <w:sz w:val="24"/>
        </w:rPr>
        <w:tab/>
      </w:r>
    </w:p>
    <w:p>
      <w:pPr>
        <w:ind w:firstLine="480" w:firstLineChars="200"/>
        <w:rPr>
          <w:kern w:val="0"/>
          <w:position w:val="-26"/>
          <w:sz w:val="24"/>
        </w:rPr>
      </w:pPr>
      <w:r>
        <w:rPr>
          <w:color w:val="000000" w:themeColor="text1"/>
          <w:kern w:val="0"/>
          <w:sz w:val="24"/>
          <w14:textFill>
            <w14:solidFill>
              <w14:schemeClr w14:val="tx1"/>
            </w14:solidFill>
          </w14:textFill>
        </w:rPr>
        <w:t>单个测量值的实验标准差</w:t>
      </w:r>
      <w:r>
        <w:rPr>
          <w:kern w:val="0"/>
          <w:sz w:val="24"/>
        </w:rPr>
        <w:t>：</w:t>
      </w:r>
      <w:r>
        <w:rPr>
          <w:kern w:val="0"/>
          <w:position w:val="-26"/>
          <w:sz w:val="24"/>
        </w:rPr>
        <w:object>
          <v:shape id="_x0000_i1029" o:spt="75" type="#_x0000_t75" style="height:43.5pt;width:166.1pt;" o:ole="t" filled="f" o:preferrelative="t" stroked="f" coordsize="21600,21600">
            <v:path/>
            <v:fill on="f" focussize="0,0"/>
            <v:stroke on="f" joinstyle="miter"/>
            <v:imagedata r:id="rId14" o:title=""/>
            <o:lock v:ext="edit" aspectratio="t"/>
            <w10:wrap type="none"/>
            <w10:anchorlock/>
          </v:shape>
          <o:OLEObject Type="Embed" ProgID="Equation.KSEE3" ShapeID="_x0000_i1029" DrawAspect="Content" ObjectID="_1468075729" r:id="rId13">
            <o:LockedField>false</o:LockedField>
          </o:OLEObject>
        </w:objec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w:r>
        <w:rPr>
          <w:color w:val="000000" w:themeColor="text1"/>
          <w:kern w:val="0"/>
          <w:position w:val="-4"/>
          <w:sz w:val="24"/>
          <w14:textFill>
            <w14:solidFill>
              <w14:schemeClr w14:val="tx1"/>
            </w14:solidFill>
          </w14:textFill>
        </w:rPr>
        <w:object>
          <v:shape id="_x0000_i1030" o:spt="75" type="#_x0000_t75" style="height:18.2pt;width:12.85pt;" o:ole="t" filled="f" o:preferrelative="t" stroked="f" coordsize="21600,21600">
            <v:path/>
            <v:fill on="f" focussize="0,0"/>
            <v:stroke on="f" joinstyle="miter"/>
            <v:imagedata r:id="rId16" o:title=""/>
            <o:lock v:ext="edit" aspectratio="t"/>
            <w10:wrap type="none"/>
            <w10:anchorlock/>
          </v:shape>
          <o:OLEObject Type="Embed" ProgID="Equation.KSEE3" ShapeID="_x0000_i1030" DrawAspect="Content" ObjectID="_1468075730" r:id="rId15">
            <o:LockedField>false</o:LockedField>
          </o:OLEObject>
        </w:object>
      </w:r>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r>
        <w:rPr>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通常只测1次，</w:t>
      </w:r>
      <w:r>
        <w:rPr>
          <w:color w:val="000000" w:themeColor="text1"/>
          <w:kern w:val="0"/>
          <w:sz w:val="24"/>
          <w14:textFill>
            <w14:solidFill>
              <w14:schemeClr w14:val="tx1"/>
            </w14:solidFill>
          </w14:textFill>
        </w:rPr>
        <w:t>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1" o:spt="75" type="#_x0000_t75" style="height:16.4pt;width:14.6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color w:val="0D0D0D" w:themeColor="text1" w:themeTint="F2"/>
          <w:kern w:val="0"/>
          <w:sz w:val="24"/>
          <w14:textFill>
            <w14:solidFill>
              <w14:schemeClr w14:val="tx1">
                <w14:lumMod w14:val="95000"/>
                <w14:lumOff w14:val="5000"/>
              </w14:schemeClr>
            </w14:solidFill>
          </w14:textFill>
        </w:rPr>
        <w:t>=S=</w:t>
      </w:r>
      <w:r>
        <w:rPr>
          <w:rFonts w:hint="eastAsia"/>
          <w:color w:val="0D0D0D" w:themeColor="text1" w:themeTint="F2"/>
          <w:kern w:val="0"/>
          <w:sz w:val="24"/>
          <w14:textFill>
            <w14:solidFill>
              <w14:schemeClr w14:val="tx1">
                <w14:lumMod w14:val="95000"/>
                <w14:lumOff w14:val="5000"/>
              </w14:schemeClr>
            </w14:solidFill>
          </w14:textFill>
        </w:rPr>
        <w:t>0.007m</w:t>
      </w:r>
      <w:r>
        <w:rPr>
          <w:sz w:val="24"/>
        </w:rPr>
        <w:t xml:space="preserve">m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2" o:spt="75" type="#_x0000_t75" style="height:17.1pt;width:12.85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p>
    <w:p>
      <w:pPr>
        <w:spacing w:line="360" w:lineRule="auto"/>
        <w:ind w:firstLine="720" w:firstLineChars="300"/>
        <w:rPr>
          <w:sz w:val="24"/>
        </w:rPr>
      </w:pPr>
      <w:r>
        <w:rPr>
          <w:rFonts w:hint="eastAsia"/>
          <w:sz w:val="24"/>
        </w:rPr>
        <w:t>数字万用表校准证书给出的</w:t>
      </w:r>
      <w:r>
        <w:rPr>
          <w:rFonts w:hint="eastAsia"/>
          <w:sz w:val="24"/>
          <w:lang w:val="en-US" w:eastAsia="zh-CN"/>
        </w:rPr>
        <w:t>为</w:t>
      </w:r>
      <w:r>
        <w:rPr>
          <w:sz w:val="24"/>
          <w:lang w:bidi="ar"/>
        </w:rPr>
        <w:t>0.00</w:t>
      </w:r>
      <w:r>
        <w:rPr>
          <w:rFonts w:hint="eastAsia"/>
          <w:sz w:val="24"/>
          <w:lang w:val="en-US" w:eastAsia="zh-CN" w:bidi="ar"/>
        </w:rPr>
        <w:t>8</w:t>
      </w:r>
      <w:r>
        <w:rPr>
          <w:sz w:val="24"/>
          <w:lang w:bidi="ar"/>
        </w:rPr>
        <w:t>V</w:t>
      </w:r>
      <w:r>
        <w:rPr>
          <w:rFonts w:hint="eastAsia"/>
          <w:sz w:val="24"/>
          <w:lang w:val="en-US" w:eastAsia="zh-CN" w:bidi="ar"/>
        </w:rPr>
        <w:t xml:space="preserve"> </w:t>
      </w:r>
      <w:r>
        <w:rPr>
          <w:sz w:val="24"/>
          <w:lang w:bidi="ar"/>
        </w:rPr>
        <w:t>,</w:t>
      </w:r>
      <w:r>
        <w:rPr>
          <w:rFonts w:hint="eastAsia"/>
          <w:szCs w:val="21"/>
          <w:lang w:bidi="ar"/>
        </w:rPr>
        <w:t>,</w:t>
      </w:r>
      <w:r>
        <w:rPr>
          <w:sz w:val="24"/>
        </w:rPr>
        <w:t>则由设备示值误差引入的不确定分量为：</w:t>
      </w:r>
    </w:p>
    <w:p>
      <w:pPr>
        <w:spacing w:line="360" w:lineRule="auto"/>
        <w:ind w:left="-142" w:firstLine="2980" w:firstLineChars="1242"/>
        <w:rPr>
          <w:i/>
          <w:position w:val="-24"/>
          <w:sz w:val="24"/>
        </w:rPr>
      </w:pPr>
      <w:r>
        <w:rPr>
          <w:i/>
          <w:position w:val="-28"/>
          <w:sz w:val="24"/>
        </w:rPr>
        <w:object>
          <v:shape id="_x0000_i1033" o:spt="75" type="#_x0000_t75" style="height:32.8pt;width:115.1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rFonts w:hint="default" w:ascii="Calibri" w:hAnsi="Calibri" w:cs="Calibri"/>
                <w:i/>
                <w:kern w:val="0"/>
                <w:sz w:val="24"/>
              </w:rPr>
              <w:t>µ</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rFonts w:hint="eastAsia"/>
                <w:sz w:val="24"/>
              </w:rPr>
              <w:t>0.007V</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w:t>
            </w:r>
            <w:r>
              <w:rPr>
                <w:rFonts w:hint="default" w:ascii="Calibri" w:hAnsi="Calibri" w:cs="Calibri"/>
                <w:i/>
                <w:kern w:val="0"/>
                <w:sz w:val="24"/>
              </w:rPr>
              <w:t>µ</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rFonts w:hint="eastAsia"/>
                <w:sz w:val="24"/>
              </w:rPr>
              <w:t>0.00</w:t>
            </w:r>
            <w:r>
              <w:rPr>
                <w:rFonts w:hint="eastAsia"/>
                <w:sz w:val="24"/>
                <w:lang w:val="en-US" w:eastAsia="zh-CN"/>
              </w:rPr>
              <w:t>5</w:t>
            </w:r>
            <w:r>
              <w:rPr>
                <w:rFonts w:hint="eastAsia"/>
                <w:sz w:val="24"/>
              </w:rPr>
              <w:t>V</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2"/>
          <w:sz w:val="24"/>
          <w:vertAlign w:val="subscript"/>
        </w:rPr>
        <w:object>
          <v:shape id="_x0000_i1034" o:spt="75" type="#_x0000_t75" style="height:21.85pt;width:233.5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firstLine="1680" w:firstLineChars="700"/>
        <w:rPr>
          <w:kern w:val="0"/>
          <w:sz w:val="24"/>
        </w:rPr>
      </w:pPr>
      <w:r>
        <w:rPr>
          <w:sz w:val="24"/>
        </w:rPr>
        <w:t xml:space="preserve"> </w:t>
      </w:r>
      <w:r>
        <w:rPr>
          <w:i/>
          <w:sz w:val="24"/>
        </w:rPr>
        <w:t>U＝</w:t>
      </w:r>
      <w:r>
        <w:rPr>
          <w:sz w:val="24"/>
        </w:rPr>
        <w:t xml:space="preserve"> </w:t>
      </w:r>
      <w:r>
        <w:rPr>
          <w:i/>
          <w:kern w:val="0"/>
          <w:sz w:val="24"/>
        </w:rPr>
        <w:t>k</w:t>
      </w:r>
      <w:r>
        <w:rPr>
          <w:rFonts w:hint="default" w:ascii="Calibri" w:hAnsi="Calibri" w:cs="Calibri"/>
          <w:i/>
          <w:kern w:val="0"/>
          <w:sz w:val="24"/>
        </w:rPr>
        <w:t>µ</w:t>
      </w:r>
      <w:r>
        <w:rPr>
          <w:sz w:val="24"/>
          <w:vertAlign w:val="subscript"/>
        </w:rPr>
        <w:t>c</w:t>
      </w:r>
      <w:r>
        <w:rPr>
          <w:sz w:val="24"/>
        </w:rPr>
        <w:t>＝2×</w:t>
      </w:r>
      <w:r>
        <w:rPr>
          <w:rFonts w:hint="eastAsia"/>
          <w:sz w:val="24"/>
        </w:rPr>
        <w:t>0.00</w:t>
      </w:r>
      <w:r>
        <w:rPr>
          <w:rFonts w:hint="eastAsia"/>
          <w:sz w:val="24"/>
          <w:lang w:val="en-US" w:eastAsia="zh-CN"/>
        </w:rPr>
        <w:t>86</w:t>
      </w:r>
      <w:r>
        <w:rPr>
          <w:rFonts w:hint="eastAsia"/>
          <w:sz w:val="24"/>
        </w:rPr>
        <w:t>V=0.01</w:t>
      </w:r>
      <w:r>
        <w:rPr>
          <w:rFonts w:hint="eastAsia"/>
          <w:sz w:val="24"/>
          <w:lang w:val="en-US" w:eastAsia="zh-CN"/>
        </w:rPr>
        <w:t>8</w:t>
      </w:r>
      <w:r>
        <w:rPr>
          <w:rFonts w:hint="eastAsia"/>
          <w:sz w:val="24"/>
        </w:rPr>
        <w:t>V</w:t>
      </w:r>
      <w:r>
        <w:rPr>
          <w:rFonts w:hint="eastAsia"/>
          <w:sz w:val="24"/>
          <w:lang w:val="en-US" w:eastAsia="zh-CN"/>
        </w:rPr>
        <w:t xml:space="preserve">     </w:t>
      </w:r>
      <w:r>
        <w:rPr>
          <w:sz w:val="24"/>
        </w:rPr>
        <w:t xml:space="preserve"> </w:t>
      </w:r>
      <w:r>
        <w:rPr>
          <w:i/>
          <w:kern w:val="0"/>
          <w:sz w:val="24"/>
        </w:rPr>
        <w:t>k</w:t>
      </w:r>
      <w:r>
        <w:rPr>
          <w:i/>
          <w:iCs/>
          <w:kern w:val="0"/>
          <w:sz w:val="24"/>
        </w:rPr>
        <w:t xml:space="preserve"> </w:t>
      </w:r>
      <w:r>
        <w:rPr>
          <w:kern w:val="0"/>
          <w:sz w:val="24"/>
        </w:rPr>
        <w:t>= 2</w:t>
      </w:r>
    </w:p>
    <w:p>
      <w:pPr>
        <w:spacing w:line="360" w:lineRule="auto"/>
        <w:ind w:left="780" w:firstLine="780" w:firstLineChars="325"/>
        <w:rPr>
          <w:rFonts w:hint="default" w:eastAsia="宋体"/>
          <w:sz w:val="24"/>
          <w:lang w:val="en-US" w:eastAsia="zh-CN"/>
        </w:rPr>
      </w:pPr>
    </w:p>
    <w:p>
      <w:pPr>
        <w:spacing w:line="360" w:lineRule="auto"/>
        <w:ind w:firstLine="1470" w:firstLineChars="700"/>
        <w:rPr>
          <w:kern w:val="0"/>
          <w:sz w:val="24"/>
        </w:rPr>
      </w:pPr>
      <w:r>
        <w:rPr>
          <w:kern w:val="0"/>
          <w:szCs w:val="21"/>
        </w:rPr>
        <w:drawing>
          <wp:anchor distT="0" distB="0" distL="114300" distR="114300" simplePos="0" relativeHeight="251658240" behindDoc="0" locked="0" layoutInCell="1" allowOverlap="1">
            <wp:simplePos x="0" y="0"/>
            <wp:positionH relativeFrom="column">
              <wp:posOffset>1655445</wp:posOffset>
            </wp:positionH>
            <wp:positionV relativeFrom="paragraph">
              <wp:posOffset>125730</wp:posOffset>
            </wp:positionV>
            <wp:extent cx="841375" cy="597535"/>
            <wp:effectExtent l="0" t="0" r="6350" b="2540"/>
            <wp:wrapNone/>
            <wp:docPr id="1" name="图片 1" descr="b9d65f81788283bb719970da0ff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d65f81788283bb719970da0ff4108"/>
                    <pic:cNvPicPr>
                      <a:picLocks noChangeAspect="1"/>
                    </pic:cNvPicPr>
                  </pic:nvPicPr>
                  <pic:blipFill>
                    <a:blip r:embed="rId25"/>
                    <a:stretch>
                      <a:fillRect/>
                    </a:stretch>
                  </pic:blipFill>
                  <pic:spPr>
                    <a:xfrm>
                      <a:off x="0" y="0"/>
                      <a:ext cx="841375" cy="597535"/>
                    </a:xfrm>
                    <a:prstGeom prst="rect">
                      <a:avLst/>
                    </a:prstGeom>
                  </pic:spPr>
                </pic:pic>
              </a:graphicData>
            </a:graphic>
          </wp:anchor>
        </w:drawing>
      </w:r>
    </w:p>
    <w:p>
      <w:pPr>
        <w:spacing w:line="360" w:lineRule="auto"/>
        <w:ind w:firstLine="1680" w:firstLineChars="700"/>
        <w:rPr>
          <w:rFonts w:hint="default" w:eastAsia="宋体"/>
          <w:kern w:val="0"/>
          <w:sz w:val="24"/>
          <w:lang w:val="en-US" w:eastAsia="zh-CN"/>
        </w:rPr>
      </w:pPr>
      <w:r>
        <w:rPr>
          <w:rFonts w:hint="eastAsia"/>
          <w:kern w:val="0"/>
          <w:sz w:val="24"/>
          <w:lang w:val="en-US" w:eastAsia="zh-CN"/>
        </w:rPr>
        <w:t>评定人：              2021.11.5</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83466"/>
    <w:rsid w:val="000D5B0F"/>
    <w:rsid w:val="00194D5A"/>
    <w:rsid w:val="001B03E0"/>
    <w:rsid w:val="00227CDF"/>
    <w:rsid w:val="002B0F65"/>
    <w:rsid w:val="003869A8"/>
    <w:rsid w:val="003D498C"/>
    <w:rsid w:val="0047357A"/>
    <w:rsid w:val="00477F42"/>
    <w:rsid w:val="00486E22"/>
    <w:rsid w:val="00521E75"/>
    <w:rsid w:val="0055550A"/>
    <w:rsid w:val="00595625"/>
    <w:rsid w:val="005A154F"/>
    <w:rsid w:val="005A7359"/>
    <w:rsid w:val="006E25D7"/>
    <w:rsid w:val="007A54BF"/>
    <w:rsid w:val="00A27A88"/>
    <w:rsid w:val="00B33D8A"/>
    <w:rsid w:val="00B45A32"/>
    <w:rsid w:val="00B72BDD"/>
    <w:rsid w:val="00BB5BA9"/>
    <w:rsid w:val="00D24F36"/>
    <w:rsid w:val="00D60E80"/>
    <w:rsid w:val="00E264E2"/>
    <w:rsid w:val="00EC6217"/>
    <w:rsid w:val="00F50C2B"/>
    <w:rsid w:val="00F55B64"/>
    <w:rsid w:val="00F71631"/>
    <w:rsid w:val="029D4DA9"/>
    <w:rsid w:val="039A211A"/>
    <w:rsid w:val="04444815"/>
    <w:rsid w:val="053A56E7"/>
    <w:rsid w:val="059C21AC"/>
    <w:rsid w:val="059D7711"/>
    <w:rsid w:val="062619D7"/>
    <w:rsid w:val="063C65F3"/>
    <w:rsid w:val="06C201D1"/>
    <w:rsid w:val="08801052"/>
    <w:rsid w:val="0A9A5E74"/>
    <w:rsid w:val="0B571171"/>
    <w:rsid w:val="0CEB4129"/>
    <w:rsid w:val="0D9608BB"/>
    <w:rsid w:val="0E1326AB"/>
    <w:rsid w:val="0E2137A4"/>
    <w:rsid w:val="0EBC1312"/>
    <w:rsid w:val="0FE512F0"/>
    <w:rsid w:val="109E5BC3"/>
    <w:rsid w:val="10C76CC6"/>
    <w:rsid w:val="11D31F89"/>
    <w:rsid w:val="11DD0A90"/>
    <w:rsid w:val="150669D4"/>
    <w:rsid w:val="1581369B"/>
    <w:rsid w:val="175072CC"/>
    <w:rsid w:val="18175742"/>
    <w:rsid w:val="183E7280"/>
    <w:rsid w:val="19905B34"/>
    <w:rsid w:val="1B8F690F"/>
    <w:rsid w:val="1CB50F17"/>
    <w:rsid w:val="1D4F7FA1"/>
    <w:rsid w:val="21A67D1C"/>
    <w:rsid w:val="24906B65"/>
    <w:rsid w:val="24CB6DA3"/>
    <w:rsid w:val="25263E94"/>
    <w:rsid w:val="27725E1D"/>
    <w:rsid w:val="292A5016"/>
    <w:rsid w:val="295E52F6"/>
    <w:rsid w:val="2AE95DBC"/>
    <w:rsid w:val="2BB30EA4"/>
    <w:rsid w:val="2DCB521B"/>
    <w:rsid w:val="2DE455C3"/>
    <w:rsid w:val="2F71161C"/>
    <w:rsid w:val="32FD5AF2"/>
    <w:rsid w:val="35D21864"/>
    <w:rsid w:val="36184782"/>
    <w:rsid w:val="37A94C31"/>
    <w:rsid w:val="37F17F01"/>
    <w:rsid w:val="38EC4007"/>
    <w:rsid w:val="39983970"/>
    <w:rsid w:val="3A9E7CD6"/>
    <w:rsid w:val="3ACD4A8C"/>
    <w:rsid w:val="3D243D33"/>
    <w:rsid w:val="3E782D86"/>
    <w:rsid w:val="3F113FAD"/>
    <w:rsid w:val="3F652FF2"/>
    <w:rsid w:val="3F6A1D37"/>
    <w:rsid w:val="3FA173DB"/>
    <w:rsid w:val="409F2474"/>
    <w:rsid w:val="41733268"/>
    <w:rsid w:val="44B65ABF"/>
    <w:rsid w:val="45FE3658"/>
    <w:rsid w:val="462C7D91"/>
    <w:rsid w:val="47674205"/>
    <w:rsid w:val="481174DD"/>
    <w:rsid w:val="49680B69"/>
    <w:rsid w:val="499A7F67"/>
    <w:rsid w:val="49EA0FF1"/>
    <w:rsid w:val="4BC5560C"/>
    <w:rsid w:val="4C4E578C"/>
    <w:rsid w:val="4D1C3685"/>
    <w:rsid w:val="4E9273F7"/>
    <w:rsid w:val="4F3508CD"/>
    <w:rsid w:val="51D71733"/>
    <w:rsid w:val="52163E48"/>
    <w:rsid w:val="526747A8"/>
    <w:rsid w:val="533874A6"/>
    <w:rsid w:val="546F1767"/>
    <w:rsid w:val="550D2A39"/>
    <w:rsid w:val="561C144A"/>
    <w:rsid w:val="567A06E1"/>
    <w:rsid w:val="5774521F"/>
    <w:rsid w:val="57CC2099"/>
    <w:rsid w:val="58F91F1B"/>
    <w:rsid w:val="5944689B"/>
    <w:rsid w:val="5A3F282F"/>
    <w:rsid w:val="5ACE0218"/>
    <w:rsid w:val="5D7B6436"/>
    <w:rsid w:val="5E6C67F7"/>
    <w:rsid w:val="5EFD54A6"/>
    <w:rsid w:val="5FBA6C7D"/>
    <w:rsid w:val="6001421E"/>
    <w:rsid w:val="600B2CAE"/>
    <w:rsid w:val="60A22F1C"/>
    <w:rsid w:val="60E71091"/>
    <w:rsid w:val="60E75549"/>
    <w:rsid w:val="60F11D19"/>
    <w:rsid w:val="6304360C"/>
    <w:rsid w:val="63BD10F1"/>
    <w:rsid w:val="645B5DC4"/>
    <w:rsid w:val="65303141"/>
    <w:rsid w:val="65F0202E"/>
    <w:rsid w:val="681B0E89"/>
    <w:rsid w:val="68BE5CD3"/>
    <w:rsid w:val="6A764632"/>
    <w:rsid w:val="6C5A5A6D"/>
    <w:rsid w:val="6C914959"/>
    <w:rsid w:val="6D1A7968"/>
    <w:rsid w:val="6E9F7006"/>
    <w:rsid w:val="71C213AF"/>
    <w:rsid w:val="7376125A"/>
    <w:rsid w:val="75513159"/>
    <w:rsid w:val="75A7131B"/>
    <w:rsid w:val="75E61CB7"/>
    <w:rsid w:val="77837E80"/>
    <w:rsid w:val="77C21D8E"/>
    <w:rsid w:val="789B1DCD"/>
    <w:rsid w:val="78EB596B"/>
    <w:rsid w:val="79ED1221"/>
    <w:rsid w:val="7A0963C2"/>
    <w:rsid w:val="7A7B1BBB"/>
    <w:rsid w:val="7A7F2C28"/>
    <w:rsid w:val="7B1A5A17"/>
    <w:rsid w:val="7C163CEE"/>
    <w:rsid w:val="7F6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Words>
  <Characters>1107</Characters>
  <Lines>9</Lines>
  <Paragraphs>2</Paragraphs>
  <TotalTime>1</TotalTime>
  <ScaleCrop>false</ScaleCrop>
  <LinksUpToDate>false</LinksUpToDate>
  <CharactersWithSpaces>1299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WPS_1601433895</cp:lastModifiedBy>
  <dcterms:modified xsi:type="dcterms:W3CDTF">2021-11-16T03:04:15Z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