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1116-2021-EnMs</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江苏虎豹集团有限公司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lang w:val="en-US" w:eastAsia="zh-CN"/>
        </w:rPr>
        <w:t>能源</w:t>
      </w:r>
      <w:r>
        <w:rPr>
          <w:rFonts w:hint="eastAsia"/>
          <w:sz w:val="28"/>
          <w:szCs w:val="28"/>
        </w:rPr>
        <w:t>管理体系（</w:t>
      </w:r>
      <w:r>
        <w:rPr>
          <w:sz w:val="28"/>
          <w:szCs w:val="28"/>
        </w:rPr>
        <w:t>E</w:t>
      </w:r>
      <w:r>
        <w:rPr>
          <w:rFonts w:hint="eastAsia"/>
          <w:sz w:val="28"/>
          <w:szCs w:val="28"/>
          <w:lang w:val="en-US" w:eastAsia="zh-CN"/>
        </w:rPr>
        <w:t>n</w:t>
      </w:r>
      <w:r>
        <w:rPr>
          <w:sz w:val="28"/>
          <w:szCs w:val="28"/>
        </w:rPr>
        <w:t>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江苏虎豹集团有限公司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汊河街道华洋路</w:t>
            </w:r>
            <w:bookmarkEnd w:id="6"/>
          </w:p>
        </w:tc>
        <w:tc>
          <w:tcPr>
            <w:tcW w:w="1242" w:type="dxa"/>
            <w:vMerge w:val="restart"/>
            <w:vAlign w:val="center"/>
          </w:tcPr>
          <w:p>
            <w:r>
              <w:rPr>
                <w:rFonts w:hint="eastAsia"/>
              </w:rPr>
              <w:t>邮编</w:t>
            </w:r>
          </w:p>
        </w:tc>
        <w:tc>
          <w:tcPr>
            <w:tcW w:w="1771" w:type="dxa"/>
          </w:tcPr>
          <w:p>
            <w:bookmarkStart w:id="7" w:name="注册邮编"/>
            <w:r>
              <w:t>225127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扬州市邗江区汊河街道华洋路</w:t>
            </w:r>
            <w:bookmarkEnd w:id="8"/>
          </w:p>
        </w:tc>
        <w:tc>
          <w:tcPr>
            <w:tcW w:w="1242" w:type="dxa"/>
            <w:vMerge w:val="continue"/>
            <w:vAlign w:val="center"/>
          </w:tcPr>
          <w:p/>
        </w:tc>
        <w:tc>
          <w:tcPr>
            <w:tcW w:w="1771" w:type="dxa"/>
          </w:tcPr>
          <w:p>
            <w:bookmarkStart w:id="9" w:name="办公邮编"/>
            <w:r>
              <w:t>225127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胡冬余</w:t>
            </w:r>
            <w:bookmarkEnd w:id="10"/>
          </w:p>
        </w:tc>
        <w:tc>
          <w:tcPr>
            <w:tcW w:w="1313" w:type="dxa"/>
            <w:vAlign w:val="center"/>
          </w:tcPr>
          <w:p>
            <w:r>
              <w:rPr>
                <w:rFonts w:hint="eastAsia"/>
              </w:rPr>
              <w:t>电话.</w:t>
            </w:r>
          </w:p>
        </w:tc>
        <w:tc>
          <w:tcPr>
            <w:tcW w:w="2180" w:type="dxa"/>
            <w:vAlign w:val="center"/>
          </w:tcPr>
          <w:p>
            <w:bookmarkStart w:id="11" w:name="联系人电话"/>
            <w:r>
              <w:t>13585232311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蒋茂远</w:t>
            </w:r>
            <w:bookmarkEnd w:id="13"/>
          </w:p>
        </w:tc>
        <w:tc>
          <w:tcPr>
            <w:tcW w:w="1313" w:type="dxa"/>
            <w:vAlign w:val="center"/>
          </w:tcPr>
          <w:p>
            <w:r>
              <w:rPr>
                <w:rFonts w:hint="eastAsia"/>
              </w:rPr>
              <w:t>管理者代表</w:t>
            </w:r>
          </w:p>
        </w:tc>
        <w:tc>
          <w:tcPr>
            <w:tcW w:w="2180" w:type="dxa"/>
          </w:tcPr>
          <w:p>
            <w:bookmarkStart w:id="14" w:name="管理者代表"/>
            <w:r>
              <w:t>胡冬余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02835" cy="3346450"/>
                  <wp:effectExtent l="0" t="0" r="1206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02835" cy="3346450"/>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2021年11月14日 下午至2021年11月16日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7" w:hRule="exact"/>
        </w:trPr>
        <w:tc>
          <w:tcPr>
            <w:tcW w:w="1632" w:type="dxa"/>
            <w:gridSpan w:val="2"/>
          </w:tcPr>
          <w:p>
            <w:pPr>
              <w:pStyle w:val="13"/>
              <w:rPr>
                <w:rFonts w:hint="eastAsia"/>
                <w:lang w:val="de-DE" w:eastAsia="zh-CN"/>
              </w:rPr>
            </w:pPr>
            <w:r>
              <w:rPr>
                <w:rFonts w:hint="eastAsia"/>
                <w:lang w:val="de-DE" w:eastAsia="zh-CN"/>
              </w:rPr>
              <w:t>审核准则</w:t>
            </w:r>
          </w:p>
          <w:p>
            <w:pPr>
              <w:pStyle w:val="13"/>
              <w:rPr>
                <w:rFonts w:hint="eastAsia"/>
                <w:lang w:val="de-DE" w:eastAsia="zh-CN"/>
              </w:rPr>
            </w:pPr>
          </w:p>
        </w:tc>
        <w:tc>
          <w:tcPr>
            <w:tcW w:w="7831" w:type="dxa"/>
            <w:gridSpan w:val="3"/>
            <w:tcMar>
              <w:left w:w="113" w:type="dxa"/>
            </w:tcMar>
          </w:tcPr>
          <w:p>
            <w:pPr>
              <w:pStyle w:val="13"/>
              <w:rPr>
                <w:rFonts w:hint="eastAsia"/>
                <w:lang w:val="de-DE" w:eastAsia="zh-CN"/>
              </w:rPr>
            </w:pPr>
            <w:bookmarkStart w:id="20" w:name="Q勾选Add1"/>
            <w:r>
              <w:rPr>
                <w:rFonts w:hint="eastAsia"/>
                <w:lang w:val="de-DE" w:eastAsia="zh-CN"/>
              </w:rPr>
              <w:t>□</w:t>
            </w:r>
            <w:bookmarkEnd w:id="20"/>
            <w:r>
              <w:rPr>
                <w:rFonts w:hint="eastAsia"/>
                <w:lang w:val="de-DE" w:eastAsia="zh-CN"/>
              </w:rPr>
              <w:t xml:space="preserve">GB/T19001-2016/ISO9001：2015   </w:t>
            </w:r>
            <w:bookmarkStart w:id="21" w:name="QJ勾选Add1"/>
            <w:r>
              <w:rPr>
                <w:rFonts w:hint="eastAsia"/>
                <w:lang w:val="de-DE" w:eastAsia="zh-CN"/>
              </w:rPr>
              <w:t>□</w:t>
            </w:r>
            <w:bookmarkEnd w:id="21"/>
            <w:r>
              <w:rPr>
                <w:rFonts w:hint="eastAsia"/>
                <w:lang w:val="de-DE" w:eastAsia="zh-CN"/>
              </w:rPr>
              <w:t>GB/T 50430-2017</w:t>
            </w:r>
          </w:p>
          <w:p>
            <w:pPr>
              <w:pStyle w:val="13"/>
              <w:rPr>
                <w:rFonts w:hint="eastAsia"/>
                <w:lang w:val="de-DE" w:eastAsia="zh-CN"/>
              </w:rPr>
            </w:pPr>
            <w:bookmarkStart w:id="22" w:name="E勾选Add1"/>
            <w:r>
              <w:rPr>
                <w:rFonts w:hint="eastAsia"/>
                <w:lang w:val="de-DE" w:eastAsia="zh-CN"/>
              </w:rPr>
              <w:t>□</w:t>
            </w:r>
            <w:bookmarkEnd w:id="22"/>
            <w:r>
              <w:rPr>
                <w:rFonts w:hint="eastAsia"/>
                <w:lang w:val="de-DE" w:eastAsia="zh-CN"/>
              </w:rPr>
              <w:t xml:space="preserve">GB/T24001-2016/ISO14001：2015  </w:t>
            </w:r>
            <w:bookmarkStart w:id="23" w:name="S勾选Add1"/>
            <w:r>
              <w:rPr>
                <w:rFonts w:hint="eastAsia"/>
                <w:lang w:val="de-DE" w:eastAsia="zh-CN"/>
              </w:rPr>
              <w:t>□</w:t>
            </w:r>
            <w:bookmarkEnd w:id="23"/>
            <w:r>
              <w:rPr>
                <w:rFonts w:hint="eastAsia"/>
                <w:lang w:val="de-DE" w:eastAsia="zh-CN"/>
              </w:rPr>
              <w:t>GB/T 45001-2020/ISO45001：2018</w:t>
            </w:r>
          </w:p>
          <w:p>
            <w:pPr>
              <w:pStyle w:val="13"/>
              <w:rPr>
                <w:rFonts w:hint="eastAsia"/>
                <w:lang w:val="en-US" w:eastAsia="zh-CN"/>
              </w:rPr>
            </w:pPr>
            <w:r>
              <w:rPr>
                <w:rFonts w:hint="eastAsia"/>
                <w:lang w:val="de-DE" w:eastAsia="zh-CN"/>
              </w:rPr>
              <w:t>☑GB/T2</w:t>
            </w:r>
            <w:r>
              <w:rPr>
                <w:rFonts w:hint="eastAsia"/>
                <w:lang w:val="en-US" w:eastAsia="zh-CN"/>
              </w:rPr>
              <w:t>333</w:t>
            </w:r>
            <w:r>
              <w:rPr>
                <w:rFonts w:hint="eastAsia"/>
                <w:lang w:val="de-DE" w:eastAsia="zh-CN"/>
              </w:rPr>
              <w:t>1-20</w:t>
            </w:r>
            <w:r>
              <w:rPr>
                <w:rFonts w:hint="eastAsia"/>
                <w:lang w:val="en-US" w:eastAsia="zh-CN"/>
              </w:rPr>
              <w:t>20</w:t>
            </w:r>
            <w:r>
              <w:rPr>
                <w:rFonts w:hint="eastAsia"/>
                <w:lang w:val="de-DE" w:eastAsia="zh-CN"/>
              </w:rPr>
              <w:t>/ISO</w:t>
            </w:r>
            <w:r>
              <w:rPr>
                <w:rFonts w:hint="eastAsia"/>
                <w:lang w:val="en-US" w:eastAsia="zh-CN"/>
              </w:rPr>
              <w:t>50</w:t>
            </w:r>
            <w:r>
              <w:rPr>
                <w:rFonts w:hint="eastAsia"/>
                <w:lang w:val="de-DE" w:eastAsia="zh-CN"/>
              </w:rPr>
              <w:t>001：201</w:t>
            </w:r>
            <w:r>
              <w:rPr>
                <w:rFonts w:hint="eastAsia"/>
                <w:lang w:val="en-US" w:eastAsia="zh-CN"/>
              </w:rPr>
              <w:t>8</w:t>
            </w:r>
          </w:p>
          <w:p>
            <w:pPr>
              <w:pStyle w:val="13"/>
              <w:rPr>
                <w:rFonts w:hint="eastAsia"/>
                <w:lang w:val="de-DE" w:eastAsia="zh-CN"/>
              </w:rPr>
            </w:pPr>
            <w:r>
              <w:rPr>
                <w:rFonts w:hint="eastAsia"/>
                <w:lang w:val="de-DE" w:eastAsia="zh-CN"/>
              </w:rPr>
              <w:t>☑</w:t>
            </w:r>
            <w:r>
              <w:rPr>
                <w:rFonts w:hint="eastAsia"/>
                <w:lang w:val="en-US" w:eastAsia="zh-CN"/>
              </w:rPr>
              <w:t>RB/T 102-2013《能源管理体系 纺织企业认证要求》</w:t>
            </w:r>
          </w:p>
          <w:p>
            <w:pPr>
              <w:pStyle w:val="13"/>
              <w:rPr>
                <w:rFonts w:hint="eastAsia"/>
                <w:lang w:val="de-DE" w:eastAsia="zh-CN"/>
              </w:rPr>
            </w:pPr>
            <w:r>
              <w:rPr>
                <w:rFonts w:hint="eastAsia"/>
                <w:lang w:val="de-DE" w:eastAsia="zh-CN"/>
              </w:rPr>
              <w:t>☑受审核方管理体系成文信息□顾客要求</w:t>
            </w:r>
          </w:p>
          <w:p>
            <w:pPr>
              <w:pStyle w:val="13"/>
              <w:rPr>
                <w:rFonts w:hint="eastAsia"/>
                <w:lang w:val="de-DE" w:eastAsia="zh-CN"/>
              </w:rPr>
            </w:pPr>
            <w:r>
              <w:rPr>
                <w:rFonts w:hint="eastAsia"/>
                <w:lang w:val="de-DE" w:eastAsia="zh-CN"/>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扬州市邗江区汊河街道华洋路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bookmarkStart w:id="34" w:name="_GoBack"/>
            <w:bookmarkEnd w:id="34"/>
          </w:p>
        </w:tc>
        <w:tc>
          <w:tcPr>
            <w:tcW w:w="5625" w:type="dxa"/>
            <w:gridSpan w:val="3"/>
            <w:vMerge w:val="restart"/>
            <w:vAlign w:val="center"/>
          </w:tcPr>
          <w:p>
            <w:bookmarkStart w:id="29" w:name="审核范围"/>
            <w:r>
              <w:t>衬衫、西服、大衣、制服、休闲 服、防寒服、童装、冲锋衣、羽 绒服、防静电服、阻燃服、酸碱 类化学防护服的设计和生产所涉及的能源管理活动。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val="0"/>
                <w:bCs/>
                <w:color w:val="000000"/>
                <w:szCs w:val="21"/>
              </w:rPr>
              <w:t>江苏虎豹集团有限公司</w:t>
            </w:r>
            <w:r>
              <w:rPr>
                <w:rFonts w:hint="eastAsia" w:ascii="宋体"/>
                <w:b w:val="0"/>
                <w:bCs/>
                <w:color w:val="000000"/>
                <w:szCs w:val="21"/>
                <w:lang w:val="en-US" w:eastAsia="zh-CN"/>
              </w:rPr>
              <w:t>/</w:t>
            </w:r>
            <w:r>
              <w:rPr>
                <w:rFonts w:ascii="宋体"/>
                <w:b w:val="0"/>
                <w:bCs/>
                <w:color w:val="000000"/>
                <w:szCs w:val="21"/>
              </w:rPr>
              <w:t>汊河街道华洋路</w:t>
            </w:r>
            <w:r>
              <w:rPr>
                <w:rFonts w:hint="eastAsia" w:ascii="宋体"/>
                <w:b w:val="0"/>
                <w:bCs/>
                <w:color w:val="000000"/>
                <w:szCs w:val="21"/>
                <w:lang w:eastAsia="zh-CN"/>
              </w:rPr>
              <w:t>。</w:t>
            </w:r>
          </w:p>
        </w:tc>
        <w:tc>
          <w:tcPr>
            <w:tcW w:w="2267" w:type="dxa"/>
          </w:tcPr>
          <w:p>
            <w:pPr>
              <w:spacing w:before="40" w:after="40"/>
              <w:rPr>
                <w:rFonts w:eastAsia="黑体"/>
                <w:szCs w:val="21"/>
                <w:lang w:val="de-DE" w:eastAsia="ja-JP"/>
              </w:rPr>
            </w:pPr>
            <w:r>
              <w:rPr>
                <w:rFonts w:ascii="宋体"/>
                <w:b w:val="0"/>
                <w:bCs/>
                <w:color w:val="000000"/>
                <w:szCs w:val="21"/>
              </w:rPr>
              <w:t>扬州市邗江区汊河街道华洋路</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652</w:t>
            </w:r>
          </w:p>
        </w:tc>
        <w:tc>
          <w:tcPr>
            <w:tcW w:w="2803" w:type="dxa"/>
            <w:vAlign w:val="center"/>
          </w:tcPr>
          <w:p>
            <w:pPr>
              <w:pStyle w:val="22"/>
              <w:rPr>
                <w:rFonts w:eastAsia="黑体" w:cs="Arial"/>
                <w:sz w:val="21"/>
                <w:szCs w:val="21"/>
                <w:lang w:val="en-US" w:eastAsia="ja-JP"/>
              </w:rPr>
            </w:pPr>
            <w:r>
              <w:t>衬衫、西服、大衣、制服、休闲 服、防寒服、童装、冲锋衣、羽 绒服、防静电服、阻燃服、酸碱 类化学防护服的设计和生产所涉及的能源管理活动。</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组员</w:t>
            </w:r>
          </w:p>
        </w:tc>
        <w:tc>
          <w:tcPr>
            <w:tcW w:w="711" w:type="dxa"/>
            <w:vAlign w:val="center"/>
          </w:tcPr>
          <w:p>
            <w:r>
              <w:t>女</w:t>
            </w:r>
          </w:p>
        </w:tc>
        <w:tc>
          <w:tcPr>
            <w:tcW w:w="3870" w:type="dxa"/>
            <w:vAlign w:val="center"/>
          </w:tcPr>
          <w:p>
            <w:r>
              <w:t>2021-N1EnMS-1014142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张桢</w:t>
            </w:r>
          </w:p>
        </w:tc>
        <w:tc>
          <w:tcPr>
            <w:tcW w:w="1089" w:type="dxa"/>
            <w:vAlign w:val="center"/>
          </w:tcPr>
          <w:p>
            <w:r>
              <w:t>组员</w:t>
            </w:r>
          </w:p>
        </w:tc>
        <w:tc>
          <w:tcPr>
            <w:tcW w:w="711" w:type="dxa"/>
            <w:vAlign w:val="center"/>
          </w:tcPr>
          <w:p>
            <w:r>
              <w:t>男</w:t>
            </w:r>
          </w:p>
        </w:tc>
        <w:tc>
          <w:tcPr>
            <w:tcW w:w="3870" w:type="dxa"/>
            <w:vAlign w:val="center"/>
          </w:tcPr>
          <w:p>
            <w:r>
              <w:t>ISC-JSZJ-410</w:t>
            </w:r>
          </w:p>
          <w:p>
            <w:r>
              <w:t>扬州宏和时装有限公司</w:t>
            </w:r>
          </w:p>
        </w:tc>
        <w:tc>
          <w:tcPr>
            <w:tcW w:w="2179" w:type="dxa"/>
            <w:vAlign w:val="center"/>
          </w:tcPr>
          <w:p>
            <w:r>
              <w:t>2.5</w:t>
            </w: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w:t>
      </w:r>
      <w:r>
        <w:rPr>
          <w:rFonts w:hint="eastAsia"/>
          <w:lang w:val="en-US" w:eastAsia="zh-CN"/>
        </w:rPr>
        <w:t>n</w:t>
      </w:r>
      <w:r>
        <w:rPr>
          <w:rFonts w:hint="eastAsia"/>
        </w:rPr>
        <w:t>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w:t>
            </w:r>
            <w:r>
              <w:rPr>
                <w:rFonts w:hint="eastAsia"/>
                <w:lang w:val="en-US" w:eastAsia="zh-CN"/>
              </w:rPr>
              <w:t>n</w:t>
            </w:r>
            <w:r>
              <w:rPr>
                <w:rFonts w:hint="eastAsia"/>
              </w:rPr>
              <w:t>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E</w:t>
            </w:r>
            <w:r>
              <w:rPr>
                <w:rFonts w:hint="eastAsia" w:ascii="Times New Roman" w:hAnsi="Times New Roman" w:eastAsia="宋体" w:cs="Times New Roman"/>
                <w:lang w:val="en-US" w:eastAsia="zh-CN"/>
              </w:rPr>
              <w:t>n</w:t>
            </w:r>
            <w:r>
              <w:rPr>
                <w:rFonts w:hint="eastAsia" w:ascii="Times New Roman" w:hAnsi="Times New Roman" w:eastAsia="宋体" w:cs="Times New Roman"/>
              </w:rPr>
              <w:t>MS基本满足GB/T2</w:t>
            </w:r>
            <w:r>
              <w:rPr>
                <w:rFonts w:hint="eastAsia" w:ascii="Times New Roman" w:hAnsi="Times New Roman" w:eastAsia="宋体" w:cs="Times New Roman"/>
                <w:lang w:val="en-US" w:eastAsia="zh-CN"/>
              </w:rPr>
              <w:t>333</w:t>
            </w:r>
            <w:r>
              <w:rPr>
                <w:rFonts w:hint="eastAsia" w:ascii="Times New Roman" w:hAnsi="Times New Roman" w:eastAsia="宋体" w:cs="Times New Roman"/>
              </w:rPr>
              <w:t>1-20</w:t>
            </w:r>
            <w:r>
              <w:rPr>
                <w:rFonts w:hint="eastAsia" w:ascii="Times New Roman" w:hAnsi="Times New Roman" w:eastAsia="宋体" w:cs="Times New Roman"/>
                <w:lang w:val="en-US" w:eastAsia="zh-CN"/>
              </w:rPr>
              <w:t>20</w:t>
            </w:r>
            <w:r>
              <w:rPr>
                <w:rFonts w:hint="eastAsia" w:ascii="Times New Roman" w:hAnsi="Times New Roman" w:eastAsia="宋体" w:cs="Times New Roman"/>
              </w:rPr>
              <w:t>/ISO</w:t>
            </w:r>
            <w:r>
              <w:rPr>
                <w:rFonts w:hint="eastAsia" w:ascii="Times New Roman" w:hAnsi="Times New Roman" w:eastAsia="宋体" w:cs="Times New Roman"/>
                <w:lang w:val="en-US" w:eastAsia="zh-CN"/>
              </w:rPr>
              <w:t>50</w:t>
            </w:r>
            <w:r>
              <w:rPr>
                <w:rFonts w:hint="eastAsia" w:ascii="Times New Roman" w:hAnsi="Times New Roman" w:eastAsia="宋体" w:cs="Times New Roman"/>
              </w:rPr>
              <w:t>001:201</w:t>
            </w:r>
            <w:r>
              <w:rPr>
                <w:rFonts w:hint="eastAsia" w:ascii="Times New Roman" w:hAnsi="Times New Roman" w:eastAsia="宋体" w:cs="Times New Roman"/>
                <w:lang w:val="en-US" w:eastAsia="zh-CN"/>
              </w:rPr>
              <w:t>8</w:t>
            </w:r>
            <w:r>
              <w:rPr>
                <w:rFonts w:hint="eastAsia" w:ascii="Times New Roman" w:hAnsi="Times New Roman" w:eastAsia="宋体" w:cs="Times New Roman"/>
              </w:rPr>
              <w:t>标准的要求，建立了自我完善机制，</w:t>
            </w:r>
            <w:r>
              <w:rPr>
                <w:rFonts w:hint="eastAsia" w:ascii="Times New Roman" w:hAnsi="Times New Roman" w:eastAsia="宋体" w:cs="Times New Roman"/>
                <w:lang w:val="en-US" w:eastAsia="zh-CN"/>
              </w:rPr>
              <w:t>能源</w:t>
            </w:r>
            <w:r>
              <w:rPr>
                <w:rFonts w:hint="eastAsia" w:ascii="Times New Roman" w:hAnsi="Times New Roman" w:eastAsia="宋体" w:cs="Times New Roman"/>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406400" cy="3429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06400" cy="34290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spacing w:before="40" w:after="40"/>
        <w:rPr>
          <w:rFonts w:eastAsia="微软雅黑"/>
        </w:rPr>
      </w:pPr>
    </w:p>
    <w:p>
      <w:pPr>
        <w:shd w:val="clear" w:color="auto" w:fill="EBF1DE" w:themeFill="accent3" w:themeFillTint="32"/>
        <w:rPr>
          <w:highlight w:val="none"/>
        </w:rPr>
      </w:pPr>
      <w:r>
        <w:rPr>
          <w:highlight w:val="none"/>
        </w:rPr>
        <w:t>附件 ISO</w:t>
      </w:r>
      <w:r>
        <w:rPr>
          <w:rFonts w:hint="eastAsia"/>
          <w:highlight w:val="none"/>
        </w:rPr>
        <w:t xml:space="preserve"> 50</w:t>
      </w:r>
      <w:r>
        <w:rPr>
          <w:highlight w:val="none"/>
        </w:rPr>
        <w:t>001:201</w:t>
      </w:r>
      <w:r>
        <w:rPr>
          <w:rFonts w:hint="eastAsia"/>
          <w:highlight w:val="none"/>
        </w:rPr>
        <w:t>8</w:t>
      </w:r>
      <w:r>
        <w:rPr>
          <w:highlight w:val="none"/>
        </w:rPr>
        <w:t xml:space="preserve"> (若不是ISO</w:t>
      </w:r>
      <w:r>
        <w:rPr>
          <w:rFonts w:hint="eastAsia"/>
          <w:highlight w:val="none"/>
        </w:rPr>
        <w:t>50</w:t>
      </w:r>
      <w:r>
        <w:rPr>
          <w:highlight w:val="none"/>
        </w:rPr>
        <w:t>001:201</w:t>
      </w:r>
      <w:r>
        <w:rPr>
          <w:rFonts w:hint="eastAsia"/>
          <w:highlight w:val="none"/>
        </w:rPr>
        <w:t>8</w:t>
      </w:r>
      <w:r>
        <w:rPr>
          <w:highlight w:val="none"/>
        </w:rP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 xml:space="preserve">财务  </w:t>
                  </w:r>
                  <w:r>
                    <w:rPr>
                      <w:rFonts w:hint="eastAsia"/>
                      <w:highlight w:val="none"/>
                      <w:lang w:eastAsia="zh-CN"/>
                    </w:rPr>
                    <w:t>☑</w:t>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w:t>
                  </w:r>
                  <w:r>
                    <w:rPr>
                      <w:rFonts w:hint="eastAsia"/>
                      <w:highlight w:val="none"/>
                      <w:lang w:eastAsia="zh-CN"/>
                    </w:rPr>
                    <w:t>☑</w:t>
                  </w:r>
                  <w:r>
                    <w:rPr>
                      <w:rFonts w:hint="eastAsia"/>
                      <w:highlight w:val="none"/>
                    </w:rPr>
                    <w:t xml:space="preserve">工艺 </w:t>
                  </w:r>
                  <w:r>
                    <w:rPr>
                      <w:rFonts w:hint="eastAsia"/>
                      <w:highlight w:val="none"/>
                      <w:lang w:eastAsia="zh-CN"/>
                    </w:rPr>
                    <w:t>☑</w:t>
                  </w:r>
                  <w:r>
                    <w:rPr>
                      <w:rFonts w:hint="eastAsia"/>
                      <w:highlight w:val="none"/>
                    </w:rPr>
                    <w:t xml:space="preserve">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lang w:eastAsia="zh-CN"/>
                    </w:rPr>
                    <w:t>☑</w:t>
                  </w:r>
                  <w:r>
                    <w:rPr>
                      <w:highlight w:val="none"/>
                    </w:rPr>
                    <w:t>活动、产品和服务</w:t>
                  </w:r>
                  <w:r>
                    <w:rPr>
                      <w:rFonts w:hint="eastAsia"/>
                      <w:highlight w:val="none"/>
                    </w:rPr>
                    <w:t xml:space="preserve"> </w:t>
                  </w:r>
                  <w:r>
                    <w:rPr>
                      <w:rFonts w:hint="eastAsia"/>
                      <w:highlight w:val="none"/>
                      <w:lang w:eastAsia="zh-CN"/>
                    </w:rPr>
                    <w:t>☑</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 xml:space="preserve">人力资源□营销和市场  </w:t>
            </w:r>
            <w:r>
              <w:rPr>
                <w:rFonts w:hint="eastAsia"/>
                <w:highlight w:val="none"/>
                <w:lang w:eastAsia="zh-CN"/>
              </w:rPr>
              <w:t>☑</w:t>
            </w:r>
            <w:r>
              <w:rPr>
                <w:rFonts w:hint="eastAsia"/>
                <w:highlight w:val="none"/>
              </w:rPr>
              <w:t xml:space="preserve">生产 □检验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w:t>
            </w:r>
            <w:r>
              <w:rPr>
                <w:rFonts w:hint="eastAsia"/>
                <w:highlight w:val="none"/>
                <w:lang w:eastAsia="zh-CN"/>
              </w:rPr>
              <w:t>☑</w:t>
            </w:r>
            <w:r>
              <w:rPr>
                <w:rFonts w:hint="eastAsia"/>
                <w:highlight w:val="none"/>
              </w:rPr>
              <w:t xml:space="preserve">满足限额要求 </w:t>
            </w:r>
            <w:r>
              <w:rPr>
                <w:rFonts w:hint="eastAsia"/>
                <w:highlight w:val="none"/>
                <w:lang w:eastAsia="zh-CN"/>
              </w:rPr>
              <w:t>☑</w:t>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□生产/服务过程 □能效监测 □设备维修 □人员培训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最高管理者制定了文件化的管理体系方针：</w:t>
            </w:r>
            <w:r>
              <w:rPr>
                <w:rFonts w:hint="eastAsia" w:ascii="Times New Roman" w:hAnsi="Times New Roman" w:eastAsia="宋体" w:cs="Times New Roman"/>
                <w:highlight w:val="none"/>
                <w:u w:val="single"/>
              </w:rPr>
              <w:t xml:space="preserve">  遵守法规 清洁生产</w:t>
            </w:r>
            <w:r>
              <w:rPr>
                <w:rFonts w:hint="eastAsia" w:ascii="Times New Roman" w:hAnsi="Times New Roman" w:eastAsia="宋体" w:cs="Times New Roman"/>
                <w:highlight w:val="none"/>
                <w:u w:val="single"/>
                <w:lang w:eastAsia="zh-CN"/>
              </w:rPr>
              <w:t>；</w:t>
            </w:r>
            <w:r>
              <w:rPr>
                <w:rFonts w:hint="eastAsia" w:ascii="Times New Roman" w:hAnsi="Times New Roman" w:eastAsia="宋体" w:cs="Times New Roman"/>
                <w:highlight w:val="none"/>
                <w:u w:val="single"/>
                <w:lang w:val="en-US" w:eastAsia="zh-CN"/>
              </w:rPr>
              <w:t>节能降耗</w:t>
            </w:r>
            <w:r>
              <w:rPr>
                <w:rFonts w:hint="eastAsia" w:ascii="Times New Roman" w:hAnsi="Times New Roman" w:eastAsia="宋体" w:cs="Times New Roman"/>
                <w:highlight w:val="none"/>
                <w:u w:val="single"/>
              </w:rPr>
              <w:t xml:space="preserve"> 创新改造</w:t>
            </w:r>
            <w:r>
              <w:rPr>
                <w:rFonts w:hint="eastAsia" w:ascii="Times New Roman" w:hAnsi="Times New Roman" w:eastAsia="宋体" w:cs="Times New Roman"/>
                <w:highlight w:val="none"/>
                <w:u w:val="single"/>
                <w:lang w:eastAsia="zh-CN"/>
              </w:rPr>
              <w:t>；</w:t>
            </w:r>
            <w:r>
              <w:rPr>
                <w:rFonts w:hint="eastAsia" w:ascii="Times New Roman" w:hAnsi="Times New Roman" w:eastAsia="宋体" w:cs="Times New Roman"/>
                <w:highlight w:val="none"/>
                <w:u w:val="single"/>
                <w:lang w:val="en-US" w:eastAsia="zh-CN"/>
              </w:rPr>
              <w:t>能耗限额 持续改进；</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highlight w:val="none"/>
                <w:lang w:val="en-US" w:eastAsia="zh-CN"/>
              </w:rPr>
              <w:t>行政中心；</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蒸汽 </w:t>
            </w:r>
            <w:r>
              <w:rPr>
                <w:rFonts w:hint="eastAsia"/>
                <w:highlight w:val="none"/>
                <w:lang w:eastAsia="zh-CN"/>
              </w:rPr>
              <w:t>☑</w:t>
            </w:r>
            <w:r>
              <w:rPr>
                <w:rFonts w:hint="eastAsia"/>
                <w:highlight w:val="none"/>
              </w:rPr>
              <w:t xml:space="preserve">天然气 </w:t>
            </w:r>
            <w:r>
              <w:rPr>
                <w:rFonts w:hint="eastAsia"/>
                <w:highlight w:val="none"/>
                <w:lang w:eastAsia="zh-CN"/>
              </w:rPr>
              <w:t>□</w:t>
            </w:r>
            <w:r>
              <w:rPr>
                <w:rFonts w:hint="eastAsia"/>
                <w:highlight w:val="none"/>
              </w:rPr>
              <w:t xml:space="preserve">燃料油  □燃料气 </w:t>
            </w:r>
            <w:r>
              <w:rPr>
                <w:rFonts w:hint="eastAsia"/>
                <w:highlight w:val="none"/>
                <w:lang w:eastAsia="zh-CN"/>
              </w:rPr>
              <w:t>☑</w:t>
            </w:r>
            <w:r>
              <w:rPr>
                <w:rFonts w:hint="eastAsia"/>
                <w:highlight w:val="none"/>
              </w:rPr>
              <w:t xml:space="preserve">电力  □氮气 □风  </w:t>
            </w:r>
            <w:r>
              <w:rPr>
                <w:rFonts w:hint="eastAsia"/>
                <w:highlight w:val="none"/>
                <w:lang w:eastAsia="zh-CN"/>
              </w:rPr>
              <w:t>□</w:t>
            </w:r>
            <w:r>
              <w:rPr>
                <w:rFonts w:hint="eastAsia"/>
                <w:highlight w:val="none"/>
              </w:rPr>
              <w:t>新鲜水 □各种品质水</w:t>
            </w:r>
          </w:p>
          <w:p>
            <w:pPr>
              <w:jc w:val="left"/>
              <w:rPr>
                <w:highlight w:val="none"/>
              </w:rPr>
            </w:pPr>
            <w:r>
              <w:rPr>
                <w:rFonts w:hint="eastAsia"/>
                <w:highlight w:val="none"/>
                <w:lang w:eastAsia="zh-CN"/>
              </w:rPr>
              <w:t>□</w:t>
            </w: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lang w:eastAsia="zh-CN"/>
              </w:rPr>
              <w:t>☑</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w:t>
            </w:r>
            <w:r>
              <w:rPr>
                <w:rFonts w:hint="eastAsia"/>
                <w:highlight w:val="none"/>
                <w:lang w:eastAsia="zh-CN"/>
              </w:rPr>
              <w:t>□</w:t>
            </w:r>
            <w:r>
              <w:rPr>
                <w:rFonts w:hint="eastAsia"/>
                <w:highlight w:val="none"/>
              </w:rPr>
              <w:t xml:space="preserve">单位产品蒸汽消耗  </w:t>
            </w:r>
            <w:r>
              <w:rPr>
                <w:rFonts w:hint="eastAsia"/>
                <w:highlight w:val="none"/>
                <w:lang w:eastAsia="zh-CN"/>
              </w:rPr>
              <w:t>□</w:t>
            </w:r>
            <w:r>
              <w:rPr>
                <w:rFonts w:hint="eastAsia"/>
                <w:highlight w:val="none"/>
              </w:rPr>
              <w:t xml:space="preserve">单位产品燃料气消耗 □加热炉热效率 □其他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 xml:space="preserve">□节能评估报告：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能源评审报告 </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限额标准  </w:t>
            </w:r>
            <w:r>
              <w:rPr>
                <w:rFonts w:hint="eastAsia"/>
                <w:highlight w:val="none"/>
                <w:lang w:eastAsia="zh-CN"/>
              </w:rPr>
              <w:t>☑</w:t>
            </w:r>
            <w:r>
              <w:rPr>
                <w:rFonts w:hint="eastAsia"/>
                <w:highlight w:val="none"/>
              </w:rPr>
              <w:t xml:space="preserve">能源计量管理  </w:t>
            </w:r>
            <w:r>
              <w:rPr>
                <w:rFonts w:hint="eastAsia"/>
                <w:highlight w:val="none"/>
                <w:lang w:eastAsia="zh-CN"/>
              </w:rPr>
              <w:t>☑</w:t>
            </w:r>
            <w:r>
              <w:rPr>
                <w:rFonts w:hint="eastAsia"/>
                <w:highlight w:val="none"/>
              </w:rPr>
              <w:t xml:space="preserve">使用节能设备  </w:t>
            </w:r>
            <w:r>
              <w:rPr>
                <w:rFonts w:hint="eastAsia"/>
                <w:highlight w:val="none"/>
                <w:lang w:eastAsia="zh-CN"/>
              </w:rPr>
              <w:t>☑</w:t>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rFonts w:hint="eastAsia"/>
                <w:highlight w:val="none"/>
              </w:rPr>
            </w:pPr>
            <w:r>
              <w:rPr>
                <w:rFonts w:hint="eastAsia"/>
                <w:highlight w:val="none"/>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1354"/>
              <w:gridCol w:w="2354"/>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目标（2020年）</w:t>
                  </w:r>
                </w:p>
              </w:tc>
              <w:tc>
                <w:tcPr>
                  <w:tcW w:w="1588" w:type="dxa"/>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考核频次</w:t>
                  </w:r>
                </w:p>
              </w:tc>
              <w:tc>
                <w:tcPr>
                  <w:tcW w:w="2840" w:type="dxa"/>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计算方法</w:t>
                  </w:r>
                </w:p>
              </w:tc>
              <w:tc>
                <w:tcPr>
                  <w:tcW w:w="2444" w:type="dxa"/>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widowControl/>
                    <w:spacing w:before="40"/>
                    <w:jc w:val="left"/>
                    <w:rPr>
                      <w:rFonts w:hint="default"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单位产品能耗≦4027.52kgce/万件</w:t>
                  </w:r>
                </w:p>
              </w:tc>
              <w:tc>
                <w:tcPr>
                  <w:tcW w:w="1588" w:type="dxa"/>
                </w:tcPr>
                <w:p>
                  <w:pPr>
                    <w:widowControl/>
                    <w:spacing w:before="40"/>
                    <w:jc w:val="left"/>
                    <w:rPr>
                      <w:rFonts w:hint="default"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每年一次</w:t>
                  </w:r>
                </w:p>
              </w:tc>
              <w:tc>
                <w:tcPr>
                  <w:tcW w:w="2840" w:type="dxa"/>
                </w:tcPr>
                <w:p>
                  <w:pPr>
                    <w:widowControl/>
                    <w:spacing w:before="40"/>
                    <w:jc w:val="left"/>
                    <w:rPr>
                      <w:rFonts w:hint="default"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年度总能耗/年产量</w:t>
                  </w:r>
                </w:p>
              </w:tc>
              <w:tc>
                <w:tcPr>
                  <w:tcW w:w="2444" w:type="dxa"/>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单位产品能耗4342.35kgce/万件</w:t>
                  </w:r>
                </w:p>
                <w:p>
                  <w:pPr>
                    <w:widowControl/>
                    <w:spacing w:before="40"/>
                    <w:jc w:val="left"/>
                    <w:rPr>
                      <w:rFonts w:hint="default"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没有完成目标</w:t>
                  </w:r>
                </w:p>
              </w:tc>
            </w:tr>
          </w:tbl>
          <w:p>
            <w:pPr>
              <w:shd w:val="clear" w:color="auto" w:fill="EBF1DE" w:themeFill="accent3" w:themeFillTint="32"/>
              <w:rPr>
                <w:highlight w:val="none"/>
              </w:rPr>
            </w:pPr>
            <w:r>
              <w:rPr>
                <w:rFonts w:hint="eastAsia"/>
                <w:highlight w:val="none"/>
              </w:rPr>
              <w:sym w:font="Wingdings" w:char="00A8"/>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FE"/>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3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olor w:val="000000" w:themeColor="text1"/>
                <w:lang w:val="en-US" w:eastAsia="zh-CN"/>
              </w:rPr>
              <w:t>416000</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 xml:space="preserve">个；实验室 </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 xml:space="preserve"> 个；</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主要生产设备有：</w:t>
            </w:r>
            <w:r>
              <w:rPr>
                <w:rFonts w:hint="eastAsia" w:ascii="Times New Roman" w:hAnsi="Times New Roman" w:eastAsia="宋体" w:cs="Times New Roman"/>
                <w:highlight w:val="none"/>
                <w:lang w:val="en-US" w:eastAsia="zh-CN"/>
              </w:rPr>
              <w:t>剪裁机</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缝纫机</w:t>
            </w:r>
            <w:r>
              <w:rPr>
                <w:rFonts w:hint="eastAsia" w:ascii="Times New Roman" w:hAnsi="Times New Roman" w:eastAsia="宋体" w:cs="Times New Roman"/>
                <w:highlight w:val="none"/>
              </w:rPr>
              <w:t>（列举2~4种）</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主要耗能设备有：</w:t>
            </w:r>
            <w:r>
              <w:rPr>
                <w:rFonts w:hint="eastAsia" w:ascii="Times New Roman" w:hAnsi="Times New Roman" w:eastAsia="宋体" w:cs="Times New Roman"/>
                <w:highlight w:val="none"/>
                <w:lang w:val="en-US" w:eastAsia="zh-CN"/>
              </w:rPr>
              <w:t>锅炉、缝纫机</w:t>
            </w:r>
            <w:r>
              <w:rPr>
                <w:rFonts w:hint="eastAsia" w:ascii="Times New Roman" w:hAnsi="Times New Roman" w:eastAsia="宋体" w:cs="Times New Roman"/>
                <w:highlight w:val="none"/>
              </w:rPr>
              <w:t>（列举2~4种）</w:t>
            </w:r>
          </w:p>
          <w:p>
            <w:pPr>
              <w:shd w:val="clear" w:color="auto" w:fill="EBF1DE" w:themeFill="accent3" w:themeFillTint="32"/>
              <w:rPr>
                <w:rFonts w:hint="eastAsia"/>
                <w:highlight w:val="none"/>
              </w:rPr>
            </w:pPr>
            <w:r>
              <w:rPr>
                <w:rFonts w:hint="eastAsia" w:ascii="Times New Roman" w:hAnsi="Times New Roman" w:eastAsia="宋体" w:cs="Times New Roman"/>
                <w:highlight w:val="none"/>
              </w:rPr>
              <w:t>特种设备：</w:t>
            </w:r>
            <w:r>
              <w:rPr>
                <w:rFonts w:hint="eastAsia" w:ascii="Times New Roman" w:hAnsi="Times New Roman" w:eastAsia="宋体" w:cs="Times New Roman"/>
                <w:highlight w:val="none"/>
              </w:rPr>
              <w:sym w:font="Wingdings" w:char="00A8"/>
            </w:r>
            <w:r>
              <w:rPr>
                <w:rFonts w:hint="eastAsia" w:ascii="Times New Roman" w:hAnsi="Times New Roman" w:eastAsia="宋体" w:cs="Times New Roman"/>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FE"/>
            </w:r>
            <w:r>
              <w:rPr>
                <w:rFonts w:hint="eastAsia"/>
                <w:highlight w:val="none"/>
              </w:rPr>
              <w:t xml:space="preserve">锅炉 </w:t>
            </w:r>
            <w:r>
              <w:rPr>
                <w:rFonts w:hint="eastAsia"/>
                <w:highlight w:val="none"/>
              </w:rPr>
              <w:sym w:font="Wingdings" w:char="00A8"/>
            </w:r>
            <w:r>
              <w:rPr>
                <w:rFonts w:hint="eastAsia"/>
                <w:highlight w:val="none"/>
              </w:rPr>
              <w:t xml:space="preserve">电梯 </w:t>
            </w:r>
          </w:p>
          <w:p>
            <w:pPr>
              <w:shd w:val="clear" w:color="auto" w:fill="EBF1DE" w:themeFill="accent3" w:themeFillTint="32"/>
              <w:rPr>
                <w:rFonts w:hint="eastAsia"/>
                <w:highlight w:val="none"/>
              </w:rPr>
            </w:pPr>
            <w:r>
              <w:rPr>
                <w:rFonts w:hint="eastAsia"/>
                <w:highlight w:val="none"/>
              </w:rPr>
              <w:t>辅助场所：</w:t>
            </w:r>
            <w:r>
              <w:rPr>
                <w:rFonts w:hint="eastAsia"/>
                <w:highlight w:val="none"/>
              </w:rPr>
              <w:sym w:font="Wingdings" w:char="00A8"/>
            </w:r>
            <w:r>
              <w:rPr>
                <w:rFonts w:hint="eastAsia"/>
                <w:highlight w:val="none"/>
              </w:rPr>
              <w:t xml:space="preserve">高压配电室 </w:t>
            </w:r>
            <w:r>
              <w:rPr>
                <w:rFonts w:hint="eastAsia"/>
                <w:highlight w:val="none"/>
              </w:rPr>
              <w:sym w:font="Wingdings" w:char="00FE"/>
            </w:r>
            <w:r>
              <w:rPr>
                <w:rFonts w:hint="eastAsia"/>
                <w:highlight w:val="none"/>
              </w:rPr>
              <w:t xml:space="preserve">低压配电室 </w:t>
            </w:r>
            <w:r>
              <w:rPr>
                <w:rFonts w:hint="eastAsia"/>
                <w:highlight w:val="none"/>
              </w:rPr>
              <w:sym w:font="Wingdings" w:char="00FE"/>
            </w:r>
            <w:r>
              <w:rPr>
                <w:rFonts w:hint="eastAsia"/>
                <w:highlight w:val="none"/>
              </w:rPr>
              <w:t xml:space="preserve">空压站 </w:t>
            </w:r>
            <w:r>
              <w:rPr>
                <w:rFonts w:hint="eastAsia"/>
                <w:highlight w:val="none"/>
              </w:rPr>
              <w:sym w:font="Wingdings" w:char="00A8"/>
            </w:r>
            <w:r>
              <w:rPr>
                <w:rFonts w:hint="eastAsia"/>
                <w:highlight w:val="none"/>
              </w:rPr>
              <w:t xml:space="preserve">锅炉房 </w:t>
            </w:r>
            <w:r>
              <w:rPr>
                <w:rFonts w:hint="eastAsia"/>
                <w:highlight w:val="none"/>
              </w:rPr>
              <w:sym w:font="Wingdings" w:char="00FE"/>
            </w:r>
            <w:r>
              <w:rPr>
                <w:rFonts w:hint="eastAsia"/>
                <w:highlight w:val="none"/>
              </w:rPr>
              <w:t xml:space="preserve">食堂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组织现有基础设施可满足能源管理体系运行；</w:t>
            </w:r>
          </w:p>
          <w:p>
            <w:pPr>
              <w:shd w:val="clear" w:color="auto" w:fill="EBF1DE" w:themeFill="accent3" w:themeFillTint="32"/>
              <w:rPr>
                <w:rFonts w:hint="eastAsia"/>
                <w:highlight w:val="none"/>
              </w:rPr>
            </w:pPr>
            <w:r>
              <w:rPr>
                <w:rFonts w:hint="eastAsia"/>
                <w:highlight w:val="none"/>
              </w:rPr>
              <w:t xml:space="preserve">□组织现有基础设施可基本满足能源管理体系运行，但是还有不足需要补充：           </w:t>
            </w:r>
          </w:p>
          <w:p>
            <w:pPr>
              <w:shd w:val="clear" w:color="auto" w:fill="EBF1DE" w:themeFill="accent3" w:themeFillTint="32"/>
              <w:rPr>
                <w:rFonts w:hint="eastAsia"/>
                <w:highlight w:val="none"/>
              </w:rPr>
            </w:pPr>
            <w:r>
              <w:rPr>
                <w:rFonts w:hint="eastAsia"/>
                <w:highlight w:val="none"/>
              </w:rPr>
              <w:t xml:space="preserve">□组织现有基础设施完全不能满足能源管理体系运行，需要从外部供方获得：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color w:val="auto"/>
                <w:highlight w:val="none"/>
              </w:rPr>
            </w:pPr>
            <w:r>
              <w:rPr>
                <w:rFonts w:hint="eastAsia"/>
                <w:color w:val="auto"/>
                <w:highlight w:val="none"/>
              </w:rPr>
              <w:t xml:space="preserve">计量器具的测量溯源方法：  </w:t>
            </w:r>
            <w:r>
              <w:rPr>
                <w:rFonts w:hint="eastAsia"/>
                <w:color w:val="auto"/>
                <w:highlight w:val="none"/>
              </w:rPr>
              <w:sym w:font="Wingdings" w:char="00A8"/>
            </w:r>
            <w:r>
              <w:rPr>
                <w:rFonts w:hint="eastAsia"/>
                <w:color w:val="auto"/>
                <w:highlight w:val="none"/>
              </w:rPr>
              <w:t xml:space="preserve">自校   </w:t>
            </w:r>
            <w:r>
              <w:rPr>
                <w:rFonts w:hint="eastAsia"/>
                <w:color w:val="auto"/>
                <w:highlight w:val="none"/>
              </w:rPr>
              <w:sym w:font="Wingdings" w:char="00FE"/>
            </w:r>
            <w:r>
              <w:rPr>
                <w:rFonts w:hint="eastAsia"/>
                <w:color w:val="auto"/>
                <w:highlight w:val="none"/>
              </w:rPr>
              <w:t xml:space="preserve">外校 </w:t>
            </w:r>
          </w:p>
          <w:p>
            <w:pPr>
              <w:shd w:val="clear" w:color="auto" w:fill="EBF1DE" w:themeFill="accent3" w:themeFillTint="32"/>
              <w:rPr>
                <w:rFonts w:hint="eastAsia"/>
                <w:color w:val="auto"/>
                <w:highlight w:val="none"/>
              </w:rPr>
            </w:pPr>
            <w:r>
              <w:rPr>
                <w:rFonts w:hint="eastAsia"/>
                <w:color w:val="auto"/>
                <w:highlight w:val="none"/>
              </w:rPr>
              <w:t xml:space="preserve">能源计量器具有： </w:t>
            </w:r>
            <w:r>
              <w:rPr>
                <w:rFonts w:hint="eastAsia"/>
                <w:color w:val="auto"/>
                <w:highlight w:val="none"/>
                <w:lang w:val="en-US" w:eastAsia="zh-CN"/>
              </w:rPr>
              <w:t>天然气流量计、电力表</w:t>
            </w:r>
            <w:r>
              <w:rPr>
                <w:rFonts w:hint="eastAsia"/>
                <w:color w:val="auto"/>
                <w:highlight w:val="none"/>
              </w:rPr>
              <w:t xml:space="preserve">    （列举1~4种）</w:t>
            </w:r>
          </w:p>
          <w:p>
            <w:pPr>
              <w:shd w:val="clear" w:color="auto" w:fill="EBF1DE" w:themeFill="accent3" w:themeFillTint="32"/>
              <w:rPr>
                <w:rFonts w:hint="eastAsia"/>
                <w:highlight w:val="none"/>
              </w:rPr>
            </w:pPr>
            <w:r>
              <w:rPr>
                <w:rFonts w:hint="eastAsia"/>
                <w:color w:val="auto"/>
                <w:highlight w:val="none"/>
              </w:rPr>
              <w:t>计量器具管理：</w:t>
            </w:r>
            <w:r>
              <w:rPr>
                <w:rFonts w:hint="eastAsia"/>
                <w:color w:val="auto"/>
                <w:highlight w:val="none"/>
              </w:rPr>
              <w:sym w:font="Wingdings" w:char="00FE"/>
            </w:r>
            <w:r>
              <w:rPr>
                <w:rFonts w:hint="eastAsia"/>
                <w:color w:val="auto"/>
                <w:highlight w:val="none"/>
              </w:rPr>
              <w:t xml:space="preserve">进行了定期校准/检定  </w:t>
            </w:r>
            <w:r>
              <w:rPr>
                <w:rFonts w:hint="eastAsia"/>
                <w:color w:val="auto"/>
                <w:highlight w:val="none"/>
              </w:rPr>
              <w:sym w:font="Wingdings" w:char="00A8"/>
            </w:r>
            <w:r>
              <w:rPr>
                <w:rFonts w:hint="eastAsia"/>
                <w:color w:val="auto"/>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rFonts w:hint="eastAsia"/>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rFonts w:hint="eastAsia"/>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组织已确定与能源管理体系相关的信息沟通。</w:t>
            </w:r>
          </w:p>
          <w:p>
            <w:pPr>
              <w:shd w:val="clear" w:color="auto" w:fill="EBF1DE" w:themeFill="accent3" w:themeFillTint="32"/>
              <w:rPr>
                <w:rFonts w:hint="eastAsia"/>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rFonts w:hint="eastAsia"/>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 xml:space="preserve">体系文件基本受控，存在问题：                           </w:t>
            </w:r>
          </w:p>
          <w:p>
            <w:pPr>
              <w:shd w:val="clear" w:color="auto" w:fill="EBF1DE" w:themeFill="accent3" w:themeFillTint="32"/>
              <w:rPr>
                <w:rFonts w:hint="eastAsia"/>
                <w:highlight w:val="none"/>
              </w:rPr>
            </w:pPr>
            <w:r>
              <w:rPr>
                <w:rFonts w:hint="eastAsia"/>
                <w:highlight w:val="none"/>
              </w:rPr>
              <w:t>对节能相关的外来文件（法律法规、产品标准）进行了识别和贯彻。</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 xml:space="preserve">法律法规获取充分，□法律法规获取有遗漏，缺少：                           </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组织为满足节能管理的要求，已对用能过程建立了相应的运行准则；按照运行准则实施过程控制。策划文件包括：</w:t>
            </w:r>
          </w:p>
          <w:p>
            <w:pPr>
              <w:shd w:val="clear" w:color="auto" w:fill="EBF1DE" w:themeFill="accent3" w:themeFillTint="32"/>
              <w:rPr>
                <w:rFonts w:hint="eastAsia"/>
                <w:highlight w:val="none"/>
              </w:rPr>
            </w:pPr>
            <w:r>
              <w:rPr>
                <w:rFonts w:hint="eastAsia"/>
                <w:highlight w:val="none"/>
              </w:rPr>
              <w:t xml:space="preserve"> </w:t>
            </w:r>
            <w:r>
              <w:rPr>
                <w:rFonts w:hint="eastAsia"/>
                <w:highlight w:val="none"/>
              </w:rPr>
              <w:sym w:font="Wingdings" w:char="00FE"/>
            </w:r>
            <w:r>
              <w:rPr>
                <w:rFonts w:hint="eastAsia"/>
                <w:highlight w:val="none"/>
              </w:rPr>
              <w:t xml:space="preserve">操作规程 </w:t>
            </w:r>
            <w:r>
              <w:rPr>
                <w:rFonts w:hint="eastAsia"/>
                <w:highlight w:val="none"/>
              </w:rPr>
              <w:sym w:font="Wingdings" w:char="00FE"/>
            </w:r>
            <w:r>
              <w:rPr>
                <w:rFonts w:hint="eastAsia"/>
                <w:highlight w:val="none"/>
              </w:rPr>
              <w:t xml:space="preserve">作业文件  </w:t>
            </w:r>
            <w:r>
              <w:rPr>
                <w:rFonts w:hint="eastAsia"/>
                <w:highlight w:val="none"/>
              </w:rPr>
              <w:sym w:font="Wingdings" w:char="00FE"/>
            </w:r>
            <w:r>
              <w:rPr>
                <w:rFonts w:hint="eastAsia"/>
                <w:highlight w:val="none"/>
              </w:rPr>
              <w:t xml:space="preserve">工艺卡片   </w:t>
            </w:r>
            <w:r>
              <w:rPr>
                <w:rFonts w:hint="eastAsia"/>
                <w:highlight w:val="none"/>
              </w:rPr>
              <w:sym w:font="Wingdings" w:char="00FE"/>
            </w:r>
            <w:r>
              <w:rPr>
                <w:rFonts w:hint="eastAsia"/>
                <w:highlight w:val="none"/>
              </w:rPr>
              <w:t xml:space="preserve">接收准则  </w:t>
            </w:r>
            <w:r>
              <w:rPr>
                <w:rFonts w:hint="eastAsia"/>
                <w:highlight w:val="none"/>
              </w:rPr>
              <w:sym w:font="Wingdings" w:char="00FE"/>
            </w:r>
            <w:r>
              <w:rPr>
                <w:rFonts w:hint="eastAsia"/>
                <w:highlight w:val="none"/>
              </w:rPr>
              <w:t xml:space="preserve">工艺流程图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rFonts w:hint="eastAsia"/>
                <w:highlight w:val="none"/>
              </w:rPr>
            </w:pPr>
            <w:r>
              <w:rPr>
                <w:rFonts w:hint="eastAsia"/>
                <w:highlight w:val="none"/>
              </w:rPr>
              <w:t xml:space="preserve">审核期间内，设计和开发新产品/项目名称：  </w:t>
            </w:r>
            <w:r>
              <w:rPr>
                <w:rFonts w:hint="eastAsia"/>
                <w:highlight w:val="none"/>
                <w:lang w:val="en-US" w:eastAsia="zh-CN"/>
              </w:rPr>
              <w:t xml:space="preserve">                      </w:t>
            </w:r>
            <w:r>
              <w:rPr>
                <w:rFonts w:hint="eastAsia"/>
                <w:highlight w:val="none"/>
              </w:rPr>
              <w:t xml:space="preserve"> （举1例）</w:t>
            </w:r>
          </w:p>
          <w:p>
            <w:pPr>
              <w:shd w:val="clear" w:color="auto" w:fill="EBF1DE" w:themeFill="accent3" w:themeFillTint="32"/>
              <w:rPr>
                <w:rFonts w:hint="eastAsia"/>
                <w:highlight w:val="none"/>
              </w:rPr>
            </w:pPr>
            <w:r>
              <w:rPr>
                <w:rFonts w:hint="eastAsia"/>
                <w:highlight w:val="none"/>
              </w:rPr>
              <w:t>对该设计和开发的项目进行了节能评估，并制订了相应的控制措施。</w:t>
            </w:r>
          </w:p>
          <w:p>
            <w:pPr>
              <w:shd w:val="clear" w:color="auto" w:fill="EBF1DE" w:themeFill="accent3" w:themeFillTint="32"/>
              <w:rPr>
                <w:rFonts w:hint="eastAsia"/>
                <w:highlight w:val="none"/>
              </w:rPr>
            </w:pPr>
            <w:r>
              <w:rPr>
                <w:rFonts w:hint="eastAsia"/>
                <w:highlight w:val="none"/>
              </w:rPr>
              <w:t>设计和开发的节能措施控制：</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 xml:space="preserve">符合要求 </w:t>
            </w:r>
            <w:r>
              <w:rPr>
                <w:rFonts w:hint="eastAsia"/>
                <w:highlight w:val="none"/>
              </w:rPr>
              <w:sym w:font="Wingdings" w:char="00FE"/>
            </w:r>
            <w:r>
              <w:rPr>
                <w:rFonts w:hint="eastAsia"/>
                <w:highlight w:val="none"/>
              </w:rPr>
              <w:t xml:space="preserve">存在不足，说明  </w:t>
            </w:r>
            <w:r>
              <w:rPr>
                <w:rFonts w:hint="eastAsia"/>
                <w:highlight w:val="none"/>
                <w:lang w:eastAsia="zh-CN"/>
              </w:rPr>
              <w:t>（</w:t>
            </w:r>
            <w:r>
              <w:rPr>
                <w:rFonts w:hint="eastAsia"/>
                <w:highlight w:val="none"/>
                <w:lang w:val="en-US" w:eastAsia="zh-CN"/>
              </w:rPr>
              <w:t>已经开具不符合项报告</w:t>
            </w:r>
            <w:r>
              <w:rPr>
                <w:rFonts w:hint="eastAsia"/>
                <w:highlight w:val="none"/>
                <w:lang w:eastAsia="zh-CN"/>
              </w:rPr>
              <w:t>）</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rPr>
                <w:rFonts w:hint="eastAsia"/>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rPr>
                    <w:t>主要能源使用</w:t>
                  </w:r>
                </w:p>
              </w:tc>
              <w:tc>
                <w:tcPr>
                  <w:tcW w:w="3665" w:type="dxa"/>
                </w:tcPr>
                <w:p>
                  <w:pPr>
                    <w:shd w:val="clear" w:color="auto" w:fill="EBF1DE" w:themeFill="accent3" w:themeFillTint="32"/>
                    <w:rPr>
                      <w:rFonts w:hint="eastAsia"/>
                      <w:highlight w:val="none"/>
                    </w:rPr>
                  </w:pPr>
                  <w:r>
                    <w:rPr>
                      <w:rFonts w:hint="eastAsia"/>
                      <w:highlight w:val="none"/>
                    </w:rPr>
                    <w:t>控制措施</w:t>
                  </w:r>
                </w:p>
              </w:tc>
              <w:tc>
                <w:tcPr>
                  <w:tcW w:w="3265" w:type="dxa"/>
                </w:tcPr>
                <w:p>
                  <w:pPr>
                    <w:shd w:val="clear" w:color="auto" w:fill="EBF1DE" w:themeFill="accent3" w:themeFillTint="32"/>
                    <w:rPr>
                      <w:rFonts w:hint="eastAsia"/>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lang w:val="en-US" w:eastAsia="zh-CN"/>
                    </w:rPr>
                    <w:t>天然气</w:t>
                  </w:r>
                  <w:r>
                    <w:rPr>
                      <w:rFonts w:hint="eastAsia"/>
                      <w:highlight w:val="none"/>
                    </w:rPr>
                    <w:t>消耗</w:t>
                  </w:r>
                </w:p>
              </w:tc>
              <w:tc>
                <w:tcPr>
                  <w:tcW w:w="3665" w:type="dxa"/>
                </w:tcPr>
                <w:p>
                  <w:pPr>
                    <w:shd w:val="clear" w:color="auto" w:fill="EBF1DE" w:themeFill="accent3" w:themeFillTint="32"/>
                    <w:rPr>
                      <w:rFonts w:hint="default"/>
                      <w:highlight w:val="none"/>
                      <w:lang w:val="en-US" w:eastAsia="zh-CN"/>
                    </w:rPr>
                  </w:pPr>
                  <w:r>
                    <w:rPr>
                      <w:rFonts w:hint="eastAsia"/>
                      <w:highlight w:val="none"/>
                      <w:lang w:val="en-US" w:eastAsia="zh-CN"/>
                    </w:rPr>
                    <w:t>加强天然气的燃烧的管理；</w:t>
                  </w:r>
                </w:p>
              </w:tc>
              <w:tc>
                <w:tcPr>
                  <w:tcW w:w="3265" w:type="dxa"/>
                </w:tcPr>
                <w:p>
                  <w:pPr>
                    <w:shd w:val="clear" w:color="auto" w:fill="EBF1DE" w:themeFill="accent3" w:themeFillTint="32"/>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rPr>
                    <w:t>电的消耗</w:t>
                  </w:r>
                </w:p>
              </w:tc>
              <w:tc>
                <w:tcPr>
                  <w:tcW w:w="3665" w:type="dxa"/>
                </w:tcPr>
                <w:p>
                  <w:pPr>
                    <w:shd w:val="clear" w:color="auto" w:fill="EBF1DE" w:themeFill="accent3" w:themeFillTint="32"/>
                    <w:rPr>
                      <w:rFonts w:hint="default"/>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rPr>
                      <w:rFonts w:hint="eastAsia"/>
                      <w:highlight w:val="none"/>
                      <w:lang w:val="en-US" w:eastAsia="zh-CN"/>
                    </w:rPr>
                  </w:pPr>
                  <w:r>
                    <w:rPr>
                      <w:rFonts w:hint="eastAsia"/>
                      <w:highlight w:val="none"/>
                      <w:lang w:val="en-US" w:eastAsia="zh-CN"/>
                    </w:rPr>
                    <w:t>符合</w:t>
                  </w:r>
                </w:p>
              </w:tc>
            </w:tr>
          </w:tbl>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对生产和服务提供过程的节能改进措施控制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rFonts w:hint="eastAsia"/>
                <w:highlight w:val="none"/>
              </w:rPr>
            </w:pPr>
            <w:r>
              <w:rPr>
                <w:rFonts w:hint="eastAsia"/>
                <w:highlight w:val="none"/>
              </w:rPr>
              <w:t>已发生的更改包括：</w:t>
            </w:r>
            <w:r>
              <w:rPr>
                <w:rFonts w:hint="eastAsia"/>
                <w:highlight w:val="none"/>
              </w:rPr>
              <w:sym w:font="Wingdings" w:char="00A8"/>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变更控制：</w:t>
            </w: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rFonts w:hint="eastAsia"/>
                <w:highlight w:val="none"/>
                <w:lang w:val="en-GB"/>
              </w:rPr>
            </w:pPr>
            <w:r>
              <w:rPr>
                <w:rFonts w:hint="eastAsia"/>
                <w:highlight w:val="none"/>
              </w:rPr>
              <w:t>组织</w:t>
            </w:r>
            <w:r>
              <w:rPr>
                <w:rFonts w:hint="eastAsia"/>
                <w:highlight w:val="none"/>
                <w:lang w:val="en-GB"/>
              </w:rPr>
              <w:t>已经制定了信息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rFonts w:hint="eastAsia"/>
                <w:highlight w:val="none"/>
              </w:rPr>
            </w:pPr>
            <w:r>
              <w:rPr>
                <w:rFonts w:hint="eastAsia"/>
                <w:highlight w:val="none"/>
              </w:rPr>
              <w:t>组织已分析和评价通过监视和测量获得的适当的数据和信息。</w:t>
            </w:r>
          </w:p>
          <w:p>
            <w:pPr>
              <w:shd w:val="clear" w:color="auto" w:fill="EBF1DE" w:themeFill="accent3" w:themeFillTint="32"/>
              <w:rPr>
                <w:rFonts w:hint="eastAsia"/>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default" w:eastAsia="宋体"/>
                <w:highlight w:val="none"/>
                <w:lang w:val="en-US" w:eastAsia="zh-CN"/>
              </w:rPr>
            </w:pPr>
            <w:r>
              <w:rPr>
                <w:rFonts w:hint="eastAsia"/>
                <w:highlight w:val="none"/>
              </w:rPr>
              <w:sym w:font="Wingdings" w:char="00FE"/>
            </w:r>
            <w:r>
              <w:rPr>
                <w:rFonts w:hint="eastAsia"/>
                <w:highlight w:val="none"/>
              </w:rPr>
              <w:t>定期（每年） ：</w:t>
            </w:r>
            <w:r>
              <w:rPr>
                <w:rFonts w:hint="eastAsia" w:ascii="Times New Roman" w:hAnsi="Times New Roman" w:eastAsia="宋体" w:cs="Times New Roman"/>
                <w:highlight w:val="none"/>
              </w:rPr>
              <w:t>20</w:t>
            </w:r>
            <w:r>
              <w:rPr>
                <w:rFonts w:hint="eastAsia" w:ascii="Times New Roman" w:hAnsi="Times New Roman" w:eastAsia="宋体" w:cs="Times New Roman"/>
                <w:highlight w:val="none"/>
                <w:lang w:val="en-US" w:eastAsia="zh-CN"/>
              </w:rPr>
              <w:t>21</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lang w:val="en-US" w:eastAsia="zh-CN"/>
              </w:rPr>
              <w:t>10</w:t>
            </w:r>
            <w:r>
              <w:rPr>
                <w:rFonts w:hint="eastAsia" w:ascii="Times New Roman" w:hAnsi="Times New Roman" w:eastAsia="宋体" w:cs="Times New Roman"/>
                <w:highlight w:val="none"/>
              </w:rPr>
              <w:t>月</w:t>
            </w: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highlight w:val="none"/>
              </w:rPr>
              <w:t>日</w:t>
            </w:r>
            <w:r>
              <w:rPr>
                <w:rFonts w:hint="eastAsia" w:ascii="Times New Roman" w:hAnsi="Times New Roman" w:eastAsia="宋体" w:cs="Times New Roman"/>
                <w:highlight w:val="none"/>
                <w:lang w:val="en-US" w:eastAsia="zh-CN"/>
              </w:rPr>
              <w:t xml:space="preserve">  </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特殊情况（法规变化）：       年   月   日</w:t>
            </w:r>
          </w:p>
          <w:p>
            <w:pPr>
              <w:shd w:val="clear" w:color="auto" w:fill="EBF1DE" w:themeFill="accent3" w:themeFillTint="32"/>
              <w:rPr>
                <w:rFonts w:hint="eastAsia"/>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rFonts w:hint="eastAsia"/>
                <w:highlight w:val="none"/>
              </w:rPr>
            </w:pPr>
            <w:r>
              <w:rPr>
                <w:rFonts w:hint="eastAsia"/>
                <w:highlight w:val="none"/>
              </w:rPr>
              <w:t>实施的检测：</w:t>
            </w:r>
            <w:r>
              <w:rPr>
                <w:rFonts w:hint="eastAsia"/>
                <w:highlight w:val="none"/>
              </w:rPr>
              <w:sym w:font="Wingdings" w:char="00FE"/>
            </w:r>
            <w:r>
              <w:rPr>
                <w:rFonts w:hint="eastAsia"/>
                <w:highlight w:val="none"/>
              </w:rPr>
              <w:t xml:space="preserve">企业自测 </w:t>
            </w:r>
            <w:r>
              <w:rPr>
                <w:rFonts w:hint="eastAsia"/>
                <w:highlight w:val="none"/>
              </w:rPr>
              <w:sym w:font="Wingdings" w:char="00A8"/>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 xml:space="preserve">《能效测试报告》编号：     </w:t>
            </w:r>
            <w:r>
              <w:rPr>
                <w:rFonts w:hint="eastAsia"/>
                <w:highlight w:val="none"/>
                <w:lang w:val="en-US" w:eastAsia="zh-CN"/>
              </w:rPr>
              <w:t>无</w:t>
            </w:r>
            <w:r>
              <w:rPr>
                <w:rFonts w:hint="eastAsia"/>
                <w:highlight w:val="none"/>
              </w:rPr>
              <w:t xml:space="preserve">                           。</w:t>
            </w:r>
          </w:p>
          <w:p>
            <w:pPr>
              <w:shd w:val="clear" w:color="auto" w:fill="EBF1DE" w:themeFill="accent3" w:themeFillTint="32"/>
              <w:rPr>
                <w:rFonts w:hint="eastAsia"/>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highlight w:val="none"/>
              </w:rPr>
              <w:t>2021年1</w:t>
            </w:r>
            <w:r>
              <w:rPr>
                <w:rFonts w:hint="eastAsia" w:ascii="Times New Roman" w:hAnsi="Times New Roman" w:eastAsia="宋体" w:cs="Times New Roman"/>
                <w:highlight w:val="none"/>
                <w:lang w:val="en-US" w:eastAsia="zh-CN"/>
              </w:rPr>
              <w:t>0</w:t>
            </w:r>
            <w:r>
              <w:rPr>
                <w:rFonts w:hint="eastAsia" w:ascii="Times New Roman" w:hAnsi="Times New Roman" w:eastAsia="宋体" w:cs="Times New Roman"/>
                <w:highlight w:val="none"/>
              </w:rPr>
              <w:t>月1</w:t>
            </w:r>
            <w:r>
              <w:rPr>
                <w:rFonts w:hint="eastAsia" w:ascii="Times New Roman" w:hAnsi="Times New Roman" w:eastAsia="宋体" w:cs="Times New Roman"/>
                <w:highlight w:val="none"/>
                <w:lang w:val="en-US" w:eastAsia="zh-CN"/>
              </w:rPr>
              <w:t>0</w:t>
            </w:r>
            <w:r>
              <w:rPr>
                <w:rFonts w:hint="eastAsia" w:ascii="Times New Roman" w:hAnsi="Times New Roman" w:eastAsia="宋体" w:cs="Times New Roman"/>
                <w:highlight w:val="none"/>
              </w:rPr>
              <w:t>日</w:t>
            </w:r>
            <w:r>
              <w:rPr>
                <w:rFonts w:hint="eastAsia"/>
                <w:highlight w:val="none"/>
              </w:rPr>
              <w:t xml:space="preserve">实施了能源管理体系内部审核，对能源管理体系的符合性和有效性进行了审核。内审发现的 </w:t>
            </w:r>
            <w:r>
              <w:rPr>
                <w:rFonts w:hint="eastAsia"/>
                <w:highlight w:val="none"/>
                <w:lang w:val="en-US" w:eastAsia="zh-CN"/>
              </w:rPr>
              <w:t>0</w:t>
            </w:r>
            <w:r>
              <w:rPr>
                <w:rFonts w:hint="eastAsia"/>
                <w:highlight w:val="none"/>
              </w:rPr>
              <w:t xml:space="preserve"> 项不符合在本次审核前已完成整改。在公司内完成的这些审核是可信的。</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若是组织多场所/临时场所：（按照组织的实际情况选择）</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若是多班次操作：（按照组织的实际情况选择）</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对所有班次的现场操作已审核。</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最高管理者已按策划的时间间隔，在</w:t>
            </w:r>
            <w:r>
              <w:rPr>
                <w:rFonts w:hint="eastAsia"/>
                <w:highlight w:val="none"/>
                <w:lang w:val="en-US" w:eastAsia="zh-CN"/>
              </w:rPr>
              <w:t>2021</w:t>
            </w:r>
            <w:r>
              <w:rPr>
                <w:rFonts w:hint="eastAsia"/>
                <w:highlight w:val="none"/>
              </w:rPr>
              <w:t>年</w:t>
            </w:r>
            <w:r>
              <w:rPr>
                <w:rFonts w:hint="eastAsia"/>
                <w:highlight w:val="none"/>
                <w:lang w:val="en-US" w:eastAsia="zh-CN"/>
              </w:rPr>
              <w:t>10</w:t>
            </w:r>
            <w:r>
              <w:rPr>
                <w:rFonts w:hint="eastAsia"/>
                <w:highlight w:val="none"/>
              </w:rPr>
              <w:t xml:space="preserve">月 </w:t>
            </w:r>
            <w:r>
              <w:rPr>
                <w:rFonts w:hint="eastAsia"/>
                <w:highlight w:val="none"/>
                <w:lang w:val="en-US" w:eastAsia="zh-CN"/>
              </w:rPr>
              <w:t>20</w:t>
            </w:r>
            <w:r>
              <w:rPr>
                <w:rFonts w:hint="eastAsia"/>
                <w:highlight w:val="none"/>
              </w:rPr>
              <w:t xml:space="preserve"> 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组织持续改进了能源管理体系的适宜性、充分性与有效性，以提升能源绩效。</w:t>
            </w:r>
          </w:p>
        </w:tc>
      </w:tr>
    </w:tbl>
    <w:tbl>
      <w:tblPr>
        <w:tblStyle w:val="9"/>
        <w:tblpPr w:leftFromText="180" w:rightFromText="180" w:vertAnchor="text" w:horzAnchor="page" w:tblpX="1142" w:tblpY="7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2410"/>
        <w:gridCol w:w="779"/>
        <w:gridCol w:w="780"/>
        <w:gridCol w:w="714"/>
        <w:gridCol w:w="764"/>
        <w:gridCol w:w="773"/>
        <w:gridCol w:w="700"/>
        <w:gridCol w:w="763"/>
        <w:gridCol w:w="746"/>
        <w:gridCol w:w="736"/>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4.2</w:t>
            </w: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4.3</w:t>
            </w: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4.4</w:t>
            </w:r>
          </w:p>
        </w:tc>
        <w:tc>
          <w:tcPr>
            <w:tcW w:w="773"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5.1</w:t>
            </w:r>
          </w:p>
        </w:tc>
        <w:tc>
          <w:tcPr>
            <w:tcW w:w="70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5.2</w:t>
            </w: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5.3</w:t>
            </w: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6.1</w:t>
            </w:r>
          </w:p>
        </w:tc>
        <w:tc>
          <w:tcPr>
            <w:tcW w:w="736"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6.2</w:t>
            </w: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80" w:type="dxa"/>
            <w:shd w:val="clear" w:color="auto" w:fill="EBF1DE" w:themeFill="accent3" w:themeFillTint="32"/>
          </w:tcPr>
          <w:p>
            <w:pPr>
              <w:shd w:val="clear" w:color="auto" w:fill="EBF1DE" w:themeFill="accent3" w:themeFillTint="32"/>
              <w:rPr>
                <w:rFonts w:hint="eastAsia"/>
                <w:highlight w:val="none"/>
                <w:lang w:eastAsia="ja-JP"/>
              </w:rPr>
            </w:pP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7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00"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default"/>
                <w:highlight w:val="none"/>
                <w:lang w:val="en-US" w:eastAsia="zh-CN"/>
              </w:rPr>
            </w:pP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6.4</w:t>
            </w:r>
          </w:p>
        </w:tc>
        <w:tc>
          <w:tcPr>
            <w:tcW w:w="78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6.5</w:t>
            </w: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6.6</w:t>
            </w: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7.1</w:t>
            </w:r>
          </w:p>
        </w:tc>
        <w:tc>
          <w:tcPr>
            <w:tcW w:w="773" w:type="dxa"/>
            <w:shd w:val="clear" w:color="auto" w:fill="EBF1DE" w:themeFill="accent3" w:themeFillTint="32"/>
            <w:vAlign w:val="center"/>
          </w:tcPr>
          <w:p>
            <w:pPr>
              <w:shd w:val="clear" w:color="auto" w:fill="EBF1DE" w:themeFill="accent3" w:themeFillTint="32"/>
              <w:rPr>
                <w:rFonts w:hint="eastAsia"/>
                <w:highlight w:val="none"/>
              </w:rPr>
            </w:pPr>
            <w:r>
              <w:rPr>
                <w:rFonts w:hint="eastAsia"/>
                <w:highlight w:val="none"/>
              </w:rPr>
              <w:t>7.2</w:t>
            </w:r>
          </w:p>
        </w:tc>
        <w:tc>
          <w:tcPr>
            <w:tcW w:w="700" w:type="dxa"/>
            <w:shd w:val="clear" w:color="auto" w:fill="EBF1DE" w:themeFill="accent3" w:themeFillTint="32"/>
            <w:vAlign w:val="center"/>
          </w:tcPr>
          <w:p>
            <w:pPr>
              <w:shd w:val="clear" w:color="auto" w:fill="EBF1DE" w:themeFill="accent3" w:themeFillTint="32"/>
              <w:rPr>
                <w:rFonts w:hint="eastAsia"/>
                <w:highlight w:val="none"/>
              </w:rPr>
            </w:pPr>
            <w:r>
              <w:rPr>
                <w:rFonts w:hint="eastAsia"/>
                <w:highlight w:val="none"/>
              </w:rPr>
              <w:t>7.3</w:t>
            </w:r>
          </w:p>
        </w:tc>
        <w:tc>
          <w:tcPr>
            <w:tcW w:w="763" w:type="dxa"/>
            <w:shd w:val="clear" w:color="auto" w:fill="EBF1DE" w:themeFill="accent3" w:themeFillTint="32"/>
            <w:vAlign w:val="center"/>
          </w:tcPr>
          <w:p>
            <w:pPr>
              <w:shd w:val="clear" w:color="auto" w:fill="EBF1DE" w:themeFill="accent3" w:themeFillTint="32"/>
              <w:rPr>
                <w:rFonts w:hint="eastAsia"/>
                <w:highlight w:val="none"/>
              </w:rPr>
            </w:pPr>
            <w:r>
              <w:rPr>
                <w:rFonts w:hint="eastAsia"/>
                <w:highlight w:val="none"/>
              </w:rPr>
              <w:t>7.4</w:t>
            </w:r>
          </w:p>
        </w:tc>
        <w:tc>
          <w:tcPr>
            <w:tcW w:w="746" w:type="dxa"/>
            <w:shd w:val="clear" w:color="auto" w:fill="EBF1DE" w:themeFill="accent3" w:themeFillTint="32"/>
            <w:vAlign w:val="center"/>
          </w:tcPr>
          <w:p>
            <w:pPr>
              <w:shd w:val="clear" w:color="auto" w:fill="EBF1DE" w:themeFill="accent3" w:themeFillTint="32"/>
              <w:rPr>
                <w:rFonts w:hint="eastAsia"/>
                <w:highlight w:val="none"/>
              </w:rPr>
            </w:pPr>
            <w:r>
              <w:rPr>
                <w:rFonts w:hint="eastAsia"/>
                <w:highlight w:val="none"/>
              </w:rPr>
              <w:t>7.5</w:t>
            </w:r>
          </w:p>
        </w:tc>
        <w:tc>
          <w:tcPr>
            <w:tcW w:w="736"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8.1</w:t>
            </w: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highlight w:val="none"/>
              </w:rPr>
            </w:pPr>
          </w:p>
        </w:tc>
        <w:tc>
          <w:tcPr>
            <w:tcW w:w="780"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highlight w:val="none"/>
                <w:lang w:val="en-US" w:eastAsia="zh-CN"/>
              </w:rPr>
            </w:pP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hint="eastAsia"/>
                <w:highlight w:val="none"/>
              </w:rPr>
            </w:pPr>
            <w:r>
              <w:rPr>
                <w:rFonts w:hint="eastAsia"/>
                <w:highlight w:val="none"/>
              </w:rPr>
              <w:t>8.3</w:t>
            </w:r>
          </w:p>
        </w:tc>
        <w:tc>
          <w:tcPr>
            <w:tcW w:w="78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9.1</w:t>
            </w: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9.2</w:t>
            </w: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9.3</w:t>
            </w:r>
          </w:p>
        </w:tc>
        <w:tc>
          <w:tcPr>
            <w:tcW w:w="773" w:type="dxa"/>
            <w:shd w:val="clear" w:color="auto" w:fill="EBF1DE" w:themeFill="accent3" w:themeFillTint="32"/>
            <w:vAlign w:val="center"/>
          </w:tcPr>
          <w:p>
            <w:pPr>
              <w:shd w:val="clear" w:color="auto" w:fill="EBF1DE" w:themeFill="accent3" w:themeFillTint="32"/>
              <w:rPr>
                <w:rFonts w:hint="default"/>
                <w:highlight w:val="none"/>
                <w:lang w:val="en-US" w:eastAsia="zh-CN"/>
              </w:rPr>
            </w:pPr>
            <w:r>
              <w:rPr>
                <w:rFonts w:hint="eastAsia"/>
                <w:highlight w:val="none"/>
              </w:rPr>
              <w:t>10</w:t>
            </w: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default"/>
                <w:highlight w:val="none"/>
                <w:lang w:val="en-US" w:eastAsia="zh-CN"/>
              </w:rPr>
            </w:pPr>
            <w:r>
              <w:rPr>
                <w:rFonts w:hint="eastAsia"/>
                <w:highlight w:val="none"/>
                <w:lang w:val="en-US" w:eastAsia="zh-CN"/>
              </w:rPr>
              <w:t>10.2</w:t>
            </w: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default"/>
                <w:highlight w:val="none"/>
                <w:lang w:val="en-US" w:eastAsia="zh-CN"/>
              </w:rPr>
            </w:pPr>
            <w:r>
              <w:rPr>
                <w:rFonts w:hint="eastAsia"/>
                <w:highlight w:val="none"/>
                <w:lang w:val="en-US" w:eastAsia="zh-CN"/>
              </w:rPr>
              <w:t>3</w:t>
            </w:r>
          </w:p>
        </w:tc>
        <w:tc>
          <w:tcPr>
            <w:tcW w:w="700"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80" w:type="dxa"/>
            <w:shd w:val="clear" w:color="auto" w:fill="EBF1DE" w:themeFill="accent3" w:themeFillTint="32"/>
          </w:tcPr>
          <w:p>
            <w:pPr>
              <w:shd w:val="clear" w:color="auto" w:fill="EBF1DE" w:themeFill="accent3" w:themeFillTint="32"/>
              <w:rPr>
                <w:rFonts w:hint="eastAsia"/>
                <w:highlight w:val="none"/>
                <w:lang w:eastAsia="ja-JP"/>
              </w:rPr>
            </w:pP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73"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eastAsia="宋体"/>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p>
        </w:tc>
      </w:tr>
    </w:tbl>
    <w:p>
      <w:pPr>
        <w:pStyle w:val="13"/>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2B929D5"/>
    <w:rsid w:val="27CA77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overflowPunct w:val="0"/>
      <w:autoSpaceDE w:val="0"/>
      <w:autoSpaceDN w:val="0"/>
      <w:adjustRightInd w:val="0"/>
      <w:jc w:val="left"/>
      <w:textAlignment w:val="baseline"/>
      <w:outlineLvl w:val="0"/>
    </w:pPr>
    <w:rPr>
      <w:rFonts w:ascii="Arial Black" w:hAnsi="Arial Black"/>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2021-11-21T01:50:45Z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