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9" w:type="dxa"/>
            <w:vAlign w:val="center"/>
          </w:tcPr>
          <w:p>
            <w:pPr>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受审核</w:t>
            </w:r>
            <w:r>
              <w:rPr>
                <w:rFonts w:hint="eastAsia" w:ascii="宋体" w:hAnsi="宋体" w:eastAsia="宋体" w:cs="宋体"/>
                <w:color w:val="auto"/>
                <w:sz w:val="24"/>
                <w:szCs w:val="24"/>
                <w:lang w:val="en-US" w:eastAsia="zh-CN"/>
              </w:rPr>
              <w:t>部门：</w:t>
            </w:r>
            <w:r>
              <w:rPr>
                <w:rFonts w:hint="eastAsia" w:ascii="宋体" w:hAnsi="宋体" w:eastAsia="宋体" w:cs="Times New Roman"/>
                <w:b/>
                <w:bCs/>
                <w:kern w:val="2"/>
                <w:sz w:val="21"/>
                <w:szCs w:val="21"/>
                <w:lang w:val="en-US" w:eastAsia="zh-CN" w:bidi="ar-SA"/>
              </w:rPr>
              <w:t>人力资源中心</w:t>
            </w:r>
            <w:r>
              <w:rPr>
                <w:rFonts w:hint="eastAsia" w:ascii="宋体" w:hAnsi="宋体" w:eastAsia="宋体" w:cs="宋体"/>
                <w:color w:val="auto"/>
                <w:sz w:val="24"/>
                <w:szCs w:val="24"/>
                <w:lang w:val="en-US" w:eastAsia="zh-CN"/>
              </w:rPr>
              <w:t xml:space="preserve">      主管领导：</w:t>
            </w:r>
            <w:r>
              <w:rPr>
                <w:rFonts w:hint="eastAsia" w:ascii="宋体" w:hAnsi="宋体" w:cs="宋体"/>
                <w:color w:val="000000"/>
                <w:kern w:val="0"/>
                <w:szCs w:val="24"/>
                <w:lang w:val="en-US" w:eastAsia="zh-CN"/>
              </w:rPr>
              <w:t>吴义和</w:t>
            </w:r>
            <w:r>
              <w:rPr>
                <w:rFonts w:hint="default"/>
                <w:color w:val="auto"/>
                <w:lang w:val="en-US" w:eastAsia="zh-CN"/>
              </w:rPr>
              <w:t xml:space="preserve"> </w:t>
            </w:r>
            <w:r>
              <w:rPr>
                <w:rFonts w:hint="eastAsia" w:ascii="宋体" w:hAnsi="宋体" w:eastAsia="宋体" w:cs="宋体"/>
                <w:color w:val="auto"/>
                <w:sz w:val="24"/>
                <w:szCs w:val="24"/>
                <w:lang w:val="en-US" w:eastAsia="zh-CN"/>
              </w:rPr>
              <w:t xml:space="preserve">    陪同人员： </w:t>
            </w:r>
            <w:r>
              <w:rPr>
                <w:rFonts w:hint="eastAsia" w:ascii="宋体" w:hAnsi="宋体" w:cs="宋体"/>
                <w:color w:val="auto"/>
                <w:sz w:val="24"/>
                <w:szCs w:val="24"/>
                <w:lang w:val="en-US" w:eastAsia="zh-CN"/>
              </w:rPr>
              <w:t>江建</w:t>
            </w:r>
          </w:p>
        </w:tc>
        <w:tc>
          <w:tcPr>
            <w:tcW w:w="110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李京田</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审核</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cs="宋体"/>
                <w:color w:val="auto"/>
                <w:sz w:val="24"/>
                <w:szCs w:val="24"/>
                <w:lang w:val="en-US" w:eastAsia="zh-CN"/>
              </w:rPr>
              <w:t>11.16</w:t>
            </w: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snapToGrid w:val="0"/>
              <w:spacing w:line="320" w:lineRule="exact"/>
              <w:ind w:left="180" w:hanging="240" w:hangingChars="100"/>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审核条款</w:t>
            </w:r>
            <w:r>
              <w:rPr>
                <w:rFonts w:hint="eastAsia" w:ascii="宋体" w:hAnsi="宋体" w:eastAsia="宋体" w:cs="宋体"/>
                <w:color w:val="auto"/>
                <w:sz w:val="24"/>
                <w:szCs w:val="24"/>
                <w:lang w:val="en-US" w:eastAsia="zh-CN"/>
              </w:rPr>
              <w:t>：</w:t>
            </w:r>
            <w:r>
              <w:rPr>
                <w:rFonts w:hint="eastAsia" w:asciiTheme="minorEastAsia" w:hAnsiTheme="minorEastAsia" w:eastAsiaTheme="minorEastAsia" w:cstheme="minorEastAsia"/>
                <w:b/>
                <w:bCs/>
                <w:color w:val="auto"/>
                <w:sz w:val="18"/>
                <w:szCs w:val="18"/>
                <w:lang w:val="en-US" w:eastAsia="zh-CN"/>
              </w:rPr>
              <w:t xml:space="preserve">En </w:t>
            </w:r>
            <w:r>
              <w:rPr>
                <w:rFonts w:hint="eastAsia" w:ascii="宋体" w:hAnsi="宋体"/>
                <w:szCs w:val="21"/>
              </w:rPr>
              <w:t>5.3 组织的岗位、职责和权限</w:t>
            </w:r>
            <w:r>
              <w:rPr>
                <w:rFonts w:hint="eastAsia" w:ascii="宋体" w:hAnsi="宋体"/>
                <w:szCs w:val="21"/>
                <w:u w:val="none"/>
              </w:rPr>
              <w:t>、6.2 目标、能源指及其实现的策划、7.2 能力、7.3 意识、</w:t>
            </w:r>
            <w:r>
              <w:rPr>
                <w:rFonts w:hint="eastAsia" w:ascii="宋体" w:hAnsi="宋体"/>
                <w:szCs w:val="21"/>
                <w:u w:val="none"/>
                <w:lang w:val="en-US" w:eastAsia="zh-CN"/>
              </w:rPr>
              <w:t>7.4沟通交流</w:t>
            </w:r>
            <w:r>
              <w:rPr>
                <w:rFonts w:hint="eastAsia" w:ascii="宋体" w:hAnsi="宋体"/>
                <w:szCs w:val="21"/>
              </w:rPr>
              <w:t>、10.1 不符合与纠正措施、10.2 持续改进</w:t>
            </w: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组织的岗位、职责和权限</w:t>
            </w:r>
          </w:p>
          <w:p>
            <w:pPr>
              <w:numPr>
                <w:ilvl w:val="0"/>
                <w:numId w:val="0"/>
              </w:numPr>
              <w:rPr>
                <w:rFonts w:hint="eastAsia" w:ascii="宋体" w:hAnsi="宋体" w:eastAsia="宋体" w:cs="宋体"/>
                <w:color w:val="auto"/>
                <w:sz w:val="24"/>
                <w:szCs w:val="24"/>
                <w:lang w:val="en-US" w:eastAsia="zh-CN"/>
              </w:rPr>
            </w:pP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pPr>
              <w:rPr>
                <w:rFonts w:hint="eastAsia" w:ascii="宋体" w:hAnsi="宋体" w:eastAsia="宋体" w:cs="宋体"/>
                <w:color w:val="auto"/>
                <w:sz w:val="24"/>
                <w:szCs w:val="24"/>
                <w:lang w:val="en-US" w:eastAsia="zh-CN"/>
              </w:rPr>
            </w:pPr>
          </w:p>
        </w:tc>
        <w:tc>
          <w:tcPr>
            <w:tcW w:w="10489" w:type="dxa"/>
            <w:vAlign w:val="top"/>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询问部门主要负责人：</w:t>
            </w:r>
            <w:r>
              <w:rPr>
                <w:rFonts w:hint="eastAsia" w:ascii="宋体" w:hAnsi="宋体" w:cs="宋体"/>
                <w:color w:val="000000"/>
                <w:kern w:val="0"/>
                <w:szCs w:val="24"/>
                <w:lang w:val="en-US" w:eastAsia="zh-CN"/>
              </w:rPr>
              <w:t>吴义和</w:t>
            </w:r>
            <w:r>
              <w:rPr>
                <w:rFonts w:hint="default"/>
                <w:color w:val="auto"/>
                <w:lang w:val="en-US" w:eastAsia="zh-CN"/>
              </w:rPr>
              <w:t xml:space="preserve"> </w:t>
            </w:r>
            <w:r>
              <w:rPr>
                <w:rFonts w:hint="eastAsia" w:ascii="宋体" w:hAnsi="宋体" w:eastAsia="宋体" w:cs="宋体"/>
                <w:color w:val="auto"/>
                <w:sz w:val="24"/>
                <w:szCs w:val="24"/>
                <w:lang w:val="en-US" w:eastAsia="zh-CN"/>
              </w:rPr>
              <w:t xml:space="preserve">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主要工作内容和职责权限：</w:t>
            </w:r>
          </w:p>
          <w:p>
            <w:pPr>
              <w:rPr>
                <w:color w:val="auto"/>
                <w:sz w:val="24"/>
                <w:szCs w:val="24"/>
              </w:rPr>
            </w:pPr>
            <w:r>
              <w:rPr>
                <w:rFonts w:hint="eastAsia"/>
                <w:color w:val="auto"/>
                <w:sz w:val="24"/>
                <w:szCs w:val="24"/>
              </w:rPr>
              <w:t>主要负责公司人力资源管理（员工培训）；</w:t>
            </w:r>
          </w:p>
          <w:p>
            <w:pPr>
              <w:rPr>
                <w:color w:val="auto"/>
                <w:sz w:val="24"/>
                <w:szCs w:val="24"/>
              </w:rPr>
            </w:pPr>
            <w:r>
              <w:rPr>
                <w:rFonts w:hint="eastAsia" w:ascii="宋体" w:hAnsi="宋体" w:eastAsia="宋体" w:cs="宋体"/>
                <w:color w:val="auto"/>
                <w:sz w:val="24"/>
                <w:szCs w:val="24"/>
                <w:lang w:val="en-US" w:eastAsia="zh-CN"/>
              </w:rPr>
              <w:t>En</w:t>
            </w:r>
            <w:r>
              <w:rPr>
                <w:rFonts w:hint="eastAsia"/>
                <w:color w:val="auto"/>
                <w:sz w:val="24"/>
                <w:szCs w:val="24"/>
              </w:rPr>
              <w:t>内外部文件管理；</w:t>
            </w:r>
          </w:p>
          <w:p>
            <w:pPr>
              <w:rPr>
                <w:color w:val="auto"/>
                <w:sz w:val="24"/>
                <w:szCs w:val="24"/>
              </w:rPr>
            </w:pPr>
            <w:r>
              <w:rPr>
                <w:rFonts w:hint="eastAsia" w:ascii="宋体" w:hAnsi="宋体" w:eastAsia="宋体" w:cs="宋体"/>
                <w:color w:val="auto"/>
                <w:sz w:val="24"/>
                <w:szCs w:val="24"/>
                <w:lang w:val="en-US" w:eastAsia="zh-CN"/>
              </w:rPr>
              <w:t>En</w:t>
            </w:r>
            <w:r>
              <w:rPr>
                <w:rFonts w:hint="eastAsia"/>
                <w:color w:val="auto"/>
                <w:sz w:val="24"/>
                <w:szCs w:val="24"/>
              </w:rPr>
              <w:t>法律法规的获取、识别与合规性评价；</w:t>
            </w:r>
          </w:p>
          <w:p>
            <w:pPr>
              <w:rPr>
                <w:color w:val="auto"/>
                <w:sz w:val="24"/>
                <w:szCs w:val="24"/>
              </w:rPr>
            </w:pPr>
            <w:r>
              <w:rPr>
                <w:rFonts w:hint="eastAsia" w:ascii="宋体" w:hAnsi="宋体" w:eastAsia="宋体" w:cs="宋体"/>
                <w:color w:val="auto"/>
                <w:sz w:val="24"/>
                <w:szCs w:val="24"/>
                <w:lang w:val="en-US" w:eastAsia="zh-CN"/>
              </w:rPr>
              <w:t>En</w:t>
            </w:r>
            <w:r>
              <w:rPr>
                <w:rFonts w:hint="eastAsia"/>
                <w:color w:val="auto"/>
                <w:sz w:val="24"/>
                <w:szCs w:val="24"/>
              </w:rPr>
              <w:t>管理体系的内审以及不符合项的整改等</w:t>
            </w:r>
          </w:p>
          <w:p>
            <w:pPr>
              <w:rPr>
                <w:color w:val="auto"/>
                <w:sz w:val="24"/>
                <w:szCs w:val="24"/>
              </w:rPr>
            </w:pPr>
            <w:bookmarkStart w:id="0" w:name="_GoBack"/>
            <w:bookmarkEnd w:id="0"/>
            <w:r>
              <w:rPr>
                <w:rFonts w:hint="eastAsia"/>
                <w:color w:val="auto"/>
                <w:sz w:val="24"/>
                <w:szCs w:val="24"/>
              </w:rPr>
              <w:t>出示有部门能源职责规定及岗位职责规定，内容基本符合要求。</w:t>
            </w:r>
          </w:p>
          <w:p>
            <w:pPr>
              <w:rPr>
                <w:rFonts w:hint="eastAsia" w:ascii="宋体" w:hAnsi="宋体" w:eastAsia="宋体" w:cs="宋体"/>
                <w:color w:val="auto"/>
                <w:sz w:val="24"/>
                <w:szCs w:val="24"/>
                <w:lang w:val="en-US" w:eastAsia="zh-CN"/>
              </w:rPr>
            </w:pP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目标，能源指标及其实现的策划</w:t>
            </w:r>
          </w:p>
          <w:p>
            <w:pPr>
              <w:rPr>
                <w:color w:val="auto"/>
              </w:rPr>
            </w:pPr>
            <w:r>
              <w:rPr>
                <w:rFonts w:hint="eastAsia" w:ascii="宋体" w:hAnsi="宋体" w:cs="宋体"/>
                <w:color w:val="auto"/>
                <w:sz w:val="24"/>
                <w:szCs w:val="24"/>
                <w:lang w:val="en-US" w:eastAsia="zh-CN"/>
              </w:rPr>
              <w:t xml:space="preserve"> </w:t>
            </w: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10489" w:type="dxa"/>
            <w:vAlign w:val="top"/>
          </w:tcPr>
          <w:p>
            <w:pPr>
              <w:ind w:firstLine="420" w:firstLineChars="200"/>
              <w:rPr>
                <w:rFonts w:ascii="宋体" w:hAnsi="宋体" w:cs="宋体"/>
                <w:color w:val="auto"/>
                <w:szCs w:val="21"/>
              </w:rPr>
            </w:pPr>
            <w:r>
              <w:rPr>
                <w:rFonts w:hint="eastAsia" w:ascii="宋体" w:hAnsi="宋体" w:cs="宋体"/>
                <w:color w:val="auto"/>
                <w:szCs w:val="21"/>
              </w:rPr>
              <w:t>执行《管理手册》及《方针目标管理制度》</w:t>
            </w:r>
          </w:p>
          <w:p>
            <w:pPr>
              <w:pStyle w:val="2"/>
              <w:ind w:left="0" w:leftChars="0" w:firstLine="0" w:firstLineChars="0"/>
              <w:rPr>
                <w:rFonts w:hint="eastAsia" w:ascii="宋体" w:hAnsi="宋体" w:eastAsia="宋体" w:cs="宋体"/>
                <w:color w:val="auto"/>
                <w:sz w:val="24"/>
                <w:szCs w:val="24"/>
                <w:lang w:val="en-US" w:eastAsia="zh-CN"/>
              </w:rPr>
            </w:pP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能源：</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编制了文件化的《目标、能源指标及管理方案》；</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本部门执行公司的能源总目标；</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日常办公注意节水节电、节约汽油及其他办公耗材的消耗、避免不必要的浪费；</w:t>
            </w:r>
          </w:p>
          <w:p>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tc>
        <w:tc>
          <w:tcPr>
            <w:tcW w:w="1100" w:type="dxa"/>
            <w:vAlign w:val="top"/>
          </w:tcPr>
          <w:p>
            <w:pPr>
              <w:rPr>
                <w:color w:val="auto"/>
              </w:rPr>
            </w:pPr>
            <w:r>
              <w:rPr>
                <w:rFonts w:hint="eastAsia" w:ascii="宋体" w:hAnsi="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center"/>
          </w:tcPr>
          <w:p>
            <w:pPr>
              <w:rPr>
                <w:rFonts w:hint="default" w:ascii="宋体" w:hAnsi="宋体" w:cs="宋体"/>
                <w:color w:val="auto"/>
                <w:sz w:val="24"/>
                <w:szCs w:val="24"/>
                <w:lang w:val="en-US" w:eastAsia="zh-CN"/>
              </w:rPr>
            </w:pPr>
            <w:r>
              <w:rPr>
                <w:rFonts w:hint="eastAsia"/>
                <w:color w:val="auto"/>
                <w:szCs w:val="21"/>
              </w:rPr>
              <w:t>人员、能力、培训</w:t>
            </w:r>
          </w:p>
        </w:tc>
        <w:tc>
          <w:tcPr>
            <w:tcW w:w="960"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eastAsia="宋体"/>
                <w:color w:val="auto"/>
                <w:szCs w:val="21"/>
                <w:lang w:val="en-US" w:eastAsia="zh-CN"/>
              </w:rPr>
            </w:pPr>
            <w:r>
              <w:rPr>
                <w:color w:val="auto"/>
                <w:szCs w:val="21"/>
              </w:rPr>
              <w:t>7.</w:t>
            </w:r>
            <w:r>
              <w:rPr>
                <w:rFonts w:hint="eastAsia"/>
                <w:color w:val="auto"/>
                <w:szCs w:val="21"/>
                <w:lang w:val="en-US" w:eastAsia="zh-CN"/>
              </w:rPr>
              <w:t>2</w:t>
            </w:r>
          </w:p>
          <w:p>
            <w:pPr>
              <w:pStyle w:val="15"/>
              <w:rPr>
                <w:color w:val="auto"/>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eastAsia="宋体"/>
                <w:color w:val="auto"/>
                <w:szCs w:val="21"/>
                <w:highlight w:val="red"/>
                <w:lang w:val="en-US" w:eastAsia="zh-CN"/>
              </w:rPr>
            </w:pPr>
            <w:r>
              <w:rPr>
                <w:rFonts w:hint="eastAsia"/>
                <w:color w:val="auto"/>
                <w:szCs w:val="21"/>
              </w:rPr>
              <w:t>7.</w:t>
            </w:r>
            <w:r>
              <w:rPr>
                <w:rFonts w:hint="eastAsia"/>
                <w:color w:val="auto"/>
                <w:szCs w:val="21"/>
                <w:lang w:val="en-US" w:eastAsia="zh-CN"/>
              </w:rPr>
              <w:t>3</w:t>
            </w:r>
          </w:p>
          <w:p>
            <w:pPr>
              <w:rPr>
                <w:rFonts w:hint="default" w:ascii="宋体" w:hAnsi="宋体" w:eastAsia="宋体" w:cs="宋体"/>
                <w:color w:val="auto"/>
                <w:sz w:val="24"/>
                <w:szCs w:val="24"/>
                <w:lang w:val="en-US" w:eastAsia="zh-CN"/>
              </w:rPr>
            </w:pPr>
          </w:p>
        </w:tc>
        <w:tc>
          <w:tcPr>
            <w:tcW w:w="10489" w:type="dxa"/>
            <w:vAlign w:val="center"/>
          </w:tcPr>
          <w:p>
            <w:pPr>
              <w:pStyle w:val="7"/>
              <w:widowControl/>
              <w:ind w:firstLine="420" w:firstLineChars="200"/>
              <w:rPr>
                <w:rFonts w:ascii="Times New Roman" w:hAnsi="Times New Roman"/>
                <w:color w:val="auto"/>
                <w:szCs w:val="21"/>
              </w:rPr>
            </w:pPr>
            <w:r>
              <w:rPr>
                <w:rFonts w:hint="eastAsia" w:ascii="Times New Roman" w:hAnsi="Times New Roman"/>
                <w:color w:val="auto"/>
                <w:szCs w:val="21"/>
              </w:rPr>
              <w:t>组织在手册中，对企业在职人员进行了人员能力与意识的要求，编制《能力、意识、培训控制程序》和《岗位描述书》，规定了控制要求。对企业的人力资源的培养和发展等作出规定，专业技术人员、特种作业人员等人力资源作出了规划。部门又根据自己部门的特点提供《绩效考核规定》，对员工的绩效进行考核，并与员工的工资相挂钩，查</w:t>
            </w:r>
            <w:r>
              <w:rPr>
                <w:rFonts w:hint="eastAsia" w:ascii="Times New Roman" w:hAnsi="Times New Roman"/>
                <w:color w:val="auto"/>
                <w:szCs w:val="21"/>
                <w:lang w:eastAsia="zh-CN"/>
              </w:rPr>
              <w:t>202</w:t>
            </w:r>
            <w:r>
              <w:rPr>
                <w:rFonts w:hint="eastAsia" w:ascii="Times New Roman" w:hAnsi="Times New Roman"/>
                <w:color w:val="auto"/>
                <w:szCs w:val="21"/>
                <w:lang w:val="en-US" w:eastAsia="zh-CN"/>
              </w:rPr>
              <w:t>1</w:t>
            </w:r>
            <w:r>
              <w:rPr>
                <w:rFonts w:hint="eastAsia" w:ascii="Times New Roman" w:hAnsi="Times New Roman"/>
                <w:color w:val="auto"/>
                <w:szCs w:val="21"/>
              </w:rPr>
              <w:t>年</w:t>
            </w:r>
            <w:r>
              <w:rPr>
                <w:rFonts w:hint="eastAsia" w:ascii="Times New Roman" w:hAnsi="Times New Roman"/>
                <w:color w:val="auto"/>
                <w:szCs w:val="21"/>
                <w:lang w:val="en-US" w:eastAsia="zh-CN"/>
              </w:rPr>
              <w:t>5</w:t>
            </w:r>
            <w:r>
              <w:rPr>
                <w:rFonts w:hint="eastAsia" w:ascii="Times New Roman" w:hAnsi="Times New Roman"/>
                <w:color w:val="auto"/>
                <w:szCs w:val="21"/>
              </w:rPr>
              <w:t>月的考核记录，考核结果基本达成设定的目标值，考核基本与办法保持一致。《岗位描述书》对总经理、管代、内审员、销售员等岗位人员的任职要求从能力、意识、学历、经历、技能等方面作出规定。</w:t>
            </w:r>
          </w:p>
          <w:p>
            <w:pPr>
              <w:rPr>
                <w:rFonts w:ascii="Times New Roman" w:hAnsi="Times New Roman"/>
                <w:color w:val="auto"/>
                <w:szCs w:val="21"/>
              </w:rPr>
            </w:pPr>
            <w:r>
              <w:rPr>
                <w:rFonts w:hint="eastAsia" w:ascii="Times New Roman" w:hAnsi="Times New Roman"/>
                <w:color w:val="auto"/>
                <w:szCs w:val="21"/>
              </w:rPr>
              <w:t>抽查</w:t>
            </w:r>
            <w:r>
              <w:rPr>
                <w:rFonts w:hint="default"/>
                <w:color w:val="auto"/>
                <w:lang w:val="en-US" w:eastAsia="zh-CN"/>
              </w:rPr>
              <w:t>柴泽锋</w:t>
            </w:r>
            <w:r>
              <w:rPr>
                <w:rFonts w:hint="eastAsia"/>
                <w:color w:val="auto"/>
                <w:lang w:eastAsia="zh-CN"/>
              </w:rPr>
              <w:t>、</w:t>
            </w:r>
            <w:r>
              <w:rPr>
                <w:rFonts w:hint="default"/>
                <w:color w:val="auto"/>
                <w:lang w:val="en-US" w:eastAsia="zh-CN"/>
              </w:rPr>
              <w:t xml:space="preserve">徐超 </w:t>
            </w:r>
            <w:r>
              <w:rPr>
                <w:rFonts w:hint="eastAsia"/>
                <w:color w:val="auto"/>
                <w:lang w:eastAsia="zh-CN"/>
              </w:rPr>
              <w:t>、</w:t>
            </w:r>
            <w:r>
              <w:rPr>
                <w:rFonts w:hint="eastAsia"/>
                <w:color w:val="auto"/>
                <w:lang w:val="en-US" w:eastAsia="zh-CN"/>
              </w:rPr>
              <w:t>谭明军</w:t>
            </w:r>
            <w:r>
              <w:rPr>
                <w:rFonts w:hint="eastAsia" w:ascii="Times New Roman" w:hAnsi="Times New Roman"/>
                <w:color w:val="auto"/>
                <w:szCs w:val="21"/>
              </w:rPr>
              <w:t>等均满足任职要求。</w:t>
            </w:r>
          </w:p>
          <w:p>
            <w:pPr>
              <w:pStyle w:val="7"/>
              <w:widowControl/>
              <w:ind w:firstLine="420" w:firstLineChars="200"/>
              <w:rPr>
                <w:rFonts w:hint="eastAsia" w:ascii="Times New Roman" w:hAnsi="Times New Roman"/>
                <w:color w:val="auto"/>
                <w:szCs w:val="21"/>
              </w:rPr>
            </w:pPr>
            <w:r>
              <w:rPr>
                <w:rFonts w:hint="eastAsia" w:ascii="Times New Roman" w:hAnsi="Times New Roman"/>
                <w:color w:val="auto"/>
                <w:szCs w:val="21"/>
              </w:rPr>
              <w:t>根据企业发展规划、现状及各部门意见，人力资源部制定年度培训计划，提供《</w:t>
            </w:r>
            <w:r>
              <w:rPr>
                <w:rFonts w:hint="eastAsia" w:ascii="Times New Roman" w:hAnsi="Times New Roman"/>
                <w:color w:val="auto"/>
                <w:szCs w:val="21"/>
                <w:lang w:eastAsia="zh-CN"/>
              </w:rPr>
              <w:t>202</w:t>
            </w:r>
            <w:r>
              <w:rPr>
                <w:rFonts w:hint="eastAsia" w:ascii="Times New Roman" w:hAnsi="Times New Roman"/>
                <w:color w:val="auto"/>
                <w:szCs w:val="21"/>
                <w:lang w:val="en-US" w:eastAsia="zh-CN"/>
              </w:rPr>
              <w:t>1</w:t>
            </w:r>
            <w:r>
              <w:rPr>
                <w:rFonts w:hint="eastAsia" w:ascii="Times New Roman" w:hAnsi="Times New Roman"/>
                <w:color w:val="auto"/>
                <w:szCs w:val="21"/>
              </w:rPr>
              <w:t>年培训计划》，有培训记录、受培训部门参加培训人员培训方式培训内容考核方式等内容，显示安排标准、管理手册和程序、法律法规和其他要求、方针、</w:t>
            </w:r>
            <w:r>
              <w:rPr>
                <w:rFonts w:hint="eastAsia" w:ascii="Times New Roman" w:hAnsi="Times New Roman"/>
                <w:color w:val="auto"/>
                <w:szCs w:val="21"/>
                <w:lang w:val="en-US" w:eastAsia="zh-CN"/>
              </w:rPr>
              <w:t>节能</w:t>
            </w:r>
            <w:r>
              <w:rPr>
                <w:rFonts w:hint="eastAsia" w:ascii="Times New Roman" w:hAnsi="Times New Roman"/>
                <w:color w:val="auto"/>
                <w:szCs w:val="21"/>
              </w:rPr>
              <w:t>、环境因素和关键特殊施工过程控制培训、意识教育、新员工等培训。编制</w:t>
            </w:r>
            <w:r>
              <w:rPr>
                <w:rFonts w:hint="eastAsia" w:ascii="Times New Roman" w:hAnsi="Times New Roman"/>
                <w:color w:val="auto"/>
                <w:szCs w:val="21"/>
                <w:lang w:eastAsia="zh-CN"/>
              </w:rPr>
              <w:t>行政中心</w:t>
            </w:r>
            <w:r>
              <w:rPr>
                <w:rFonts w:hint="eastAsia" w:ascii="Times New Roman" w:hAnsi="Times New Roman"/>
                <w:color w:val="auto"/>
                <w:szCs w:val="21"/>
              </w:rPr>
              <w:t xml:space="preserve">  ，批准</w:t>
            </w:r>
            <w:r>
              <w:rPr>
                <w:rFonts w:hint="eastAsia"/>
                <w:color w:val="auto"/>
                <w:lang w:eastAsia="zh-CN"/>
              </w:rPr>
              <w:t xml:space="preserve"> </w:t>
            </w:r>
            <w:r>
              <w:rPr>
                <w:rFonts w:hint="eastAsia"/>
                <w:lang w:val="en-US" w:eastAsia="zh-CN"/>
              </w:rPr>
              <w:t>蒋迎春</w:t>
            </w:r>
            <w:r>
              <w:rPr>
                <w:rFonts w:hint="eastAsia" w:ascii="Times New Roman" w:hAnsi="Times New Roman"/>
                <w:color w:val="auto"/>
                <w:szCs w:val="21"/>
              </w:rPr>
              <w:t>，日期：</w:t>
            </w:r>
            <w:r>
              <w:rPr>
                <w:rFonts w:hint="eastAsia" w:ascii="Times New Roman" w:hAnsi="Times New Roman"/>
                <w:color w:val="auto"/>
                <w:szCs w:val="21"/>
                <w:lang w:eastAsia="zh-CN"/>
              </w:rPr>
              <w:t>202</w:t>
            </w:r>
            <w:r>
              <w:rPr>
                <w:rFonts w:hint="eastAsia" w:ascii="Times New Roman" w:hAnsi="Times New Roman"/>
                <w:color w:val="auto"/>
                <w:szCs w:val="21"/>
                <w:lang w:val="en-US" w:eastAsia="zh-CN"/>
              </w:rPr>
              <w:t>1</w:t>
            </w:r>
            <w:r>
              <w:rPr>
                <w:rFonts w:hint="eastAsia" w:ascii="Times New Roman" w:hAnsi="Times New Roman"/>
                <w:color w:val="auto"/>
                <w:szCs w:val="21"/>
              </w:rPr>
              <w:t>.</w:t>
            </w:r>
            <w:r>
              <w:rPr>
                <w:rFonts w:hint="eastAsia" w:ascii="Times New Roman" w:hAnsi="Times New Roman"/>
                <w:color w:val="auto"/>
                <w:szCs w:val="21"/>
                <w:lang w:val="en-US" w:eastAsia="zh-CN"/>
              </w:rPr>
              <w:t>5.10</w:t>
            </w:r>
            <w:r>
              <w:rPr>
                <w:rFonts w:hint="eastAsia" w:ascii="Times New Roman" w:hAnsi="Times New Roman"/>
                <w:color w:val="auto"/>
                <w:szCs w:val="21"/>
              </w:rPr>
              <w:t>。</w:t>
            </w:r>
          </w:p>
          <w:p>
            <w:pPr>
              <w:rPr>
                <w:rFonts w:hint="eastAsia" w:ascii="Times New Roman" w:hAnsi="Times New Roman"/>
                <w:color w:val="auto"/>
                <w:szCs w:val="21"/>
              </w:rPr>
            </w:pPr>
            <w:r>
              <w:rPr>
                <w:rFonts w:hint="eastAsia" w:ascii="Times New Roman" w:hAnsi="Times New Roman"/>
                <w:color w:val="auto"/>
                <w:szCs w:val="21"/>
              </w:rPr>
              <w:t>培训题目：管理手册及程序文件等文件培训；法律法规常识等，实施</w:t>
            </w:r>
            <w:r>
              <w:rPr>
                <w:rFonts w:hint="eastAsia" w:ascii="宋体" w:hAnsi="宋体" w:eastAsia="宋体" w:cs="宋体"/>
                <w:color w:val="auto"/>
                <w:sz w:val="24"/>
                <w:szCs w:val="24"/>
                <w:lang w:val="en-US" w:eastAsia="zh-CN"/>
              </w:rPr>
              <w:t>En</w:t>
            </w:r>
            <w:r>
              <w:rPr>
                <w:rFonts w:hint="eastAsia" w:ascii="Times New Roman" w:hAnsi="Times New Roman"/>
                <w:color w:val="auto"/>
                <w:szCs w:val="21"/>
              </w:rPr>
              <w:t>管理体系的意义。向全体员工讲解贯彻标准的意义。并在培训结束后策划本公司管理体系的建立、实施过程。学习手册、程序文件编写格式。培训地点：会议室。</w:t>
            </w:r>
          </w:p>
          <w:p>
            <w:pPr>
              <w:rPr>
                <w:rFonts w:hint="eastAsia" w:ascii="Times New Roman" w:hAnsi="Times New Roman"/>
                <w:color w:val="auto"/>
                <w:szCs w:val="21"/>
              </w:rPr>
            </w:pPr>
            <w:r>
              <w:rPr>
                <w:rFonts w:hint="eastAsia" w:ascii="Times New Roman" w:hAnsi="Times New Roman"/>
                <w:color w:val="auto"/>
                <w:szCs w:val="21"/>
              </w:rPr>
              <w:t>抽1：</w:t>
            </w:r>
            <w:r>
              <w:rPr>
                <w:rFonts w:hint="eastAsia" w:ascii="Times New Roman" w:hAnsi="Times New Roman"/>
                <w:color w:val="auto"/>
                <w:szCs w:val="21"/>
                <w:lang w:eastAsia="zh-CN"/>
              </w:rPr>
              <w:t>202</w:t>
            </w:r>
            <w:r>
              <w:rPr>
                <w:rFonts w:hint="eastAsia" w:ascii="Times New Roman" w:hAnsi="Times New Roman"/>
                <w:color w:val="auto"/>
                <w:szCs w:val="21"/>
                <w:lang w:val="en-US" w:eastAsia="zh-CN"/>
              </w:rPr>
              <w:t>1</w:t>
            </w:r>
            <w:r>
              <w:rPr>
                <w:rFonts w:hint="eastAsia" w:ascii="Times New Roman" w:hAnsi="Times New Roman"/>
                <w:color w:val="auto"/>
                <w:szCs w:val="21"/>
              </w:rPr>
              <w:t>年</w:t>
            </w:r>
            <w:r>
              <w:rPr>
                <w:rFonts w:hint="eastAsia"/>
                <w:color w:val="auto"/>
                <w:szCs w:val="21"/>
                <w:lang w:val="en-US" w:eastAsia="zh-CN"/>
              </w:rPr>
              <w:t>5</w:t>
            </w:r>
            <w:r>
              <w:rPr>
                <w:rFonts w:hint="eastAsia" w:ascii="Times New Roman" w:hAnsi="Times New Roman"/>
                <w:color w:val="auto"/>
                <w:szCs w:val="21"/>
              </w:rPr>
              <w:t>月</w:t>
            </w:r>
            <w:r>
              <w:rPr>
                <w:rFonts w:hint="eastAsia" w:ascii="Times New Roman" w:hAnsi="Times New Roman"/>
                <w:color w:val="auto"/>
                <w:szCs w:val="21"/>
                <w:lang w:val="en-US" w:eastAsia="zh-CN"/>
              </w:rPr>
              <w:t>1</w:t>
            </w:r>
            <w:r>
              <w:rPr>
                <w:rFonts w:hint="eastAsia" w:ascii="Times New Roman" w:hAnsi="Times New Roman"/>
                <w:color w:val="auto"/>
                <w:szCs w:val="21"/>
              </w:rPr>
              <w:t>4日，在会议室进行了管理体系内审员培训，参加人员</w:t>
            </w:r>
            <w:r>
              <w:rPr>
                <w:rFonts w:hint="eastAsia"/>
                <w:lang w:val="en-US" w:eastAsia="zh-CN"/>
              </w:rPr>
              <w:t>蒋迎春</w:t>
            </w:r>
            <w:r>
              <w:rPr>
                <w:rFonts w:hint="eastAsia" w:ascii="Times New Roman" w:hAnsi="Times New Roman"/>
                <w:color w:val="auto"/>
                <w:szCs w:val="21"/>
              </w:rPr>
              <w:t>、</w:t>
            </w:r>
            <w:r>
              <w:rPr>
                <w:sz w:val="21"/>
                <w:szCs w:val="21"/>
              </w:rPr>
              <w:t>胡冬余</w:t>
            </w:r>
            <w:r>
              <w:rPr>
                <w:rFonts w:hint="eastAsia" w:ascii="Times New Roman" w:hAnsi="Times New Roman"/>
                <w:color w:val="auto"/>
                <w:szCs w:val="21"/>
              </w:rPr>
              <w:t xml:space="preserve">  </w:t>
            </w:r>
            <w:r>
              <w:rPr>
                <w:rFonts w:hint="eastAsia"/>
                <w:color w:val="auto"/>
                <w:szCs w:val="21"/>
                <w:lang w:val="en-US" w:eastAsia="zh-CN"/>
              </w:rPr>
              <w:t>曹建阳</w:t>
            </w:r>
            <w:r>
              <w:rPr>
                <w:rFonts w:hint="eastAsia" w:ascii="Times New Roman" w:hAnsi="Times New Roman"/>
                <w:color w:val="auto"/>
                <w:szCs w:val="21"/>
              </w:rPr>
              <w:t xml:space="preserve"> </w:t>
            </w:r>
            <w:r>
              <w:rPr>
                <w:rFonts w:hint="eastAsia" w:ascii="Times New Roman" w:hAnsi="Times New Roman"/>
                <w:color w:val="auto"/>
                <w:szCs w:val="21"/>
                <w:lang w:val="en-US" w:eastAsia="zh-CN"/>
              </w:rPr>
              <w:t>等</w:t>
            </w:r>
            <w:r>
              <w:rPr>
                <w:rFonts w:hint="eastAsia" w:ascii="Times New Roman" w:hAnsi="Times New Roman"/>
                <w:color w:val="auto"/>
                <w:szCs w:val="21"/>
              </w:rPr>
              <w:t>；培训效果评价  达到预期效果。评价人</w:t>
            </w:r>
            <w:r>
              <w:rPr>
                <w:rFonts w:hint="eastAsia"/>
                <w:color w:val="auto"/>
                <w:szCs w:val="21"/>
                <w:lang w:val="en-US" w:eastAsia="zh-CN"/>
              </w:rPr>
              <w:t>周</w:t>
            </w:r>
            <w:r>
              <w:rPr>
                <w:rFonts w:hint="eastAsia" w:ascii="Times New Roman" w:hAnsi="Times New Roman"/>
                <w:color w:val="auto"/>
                <w:szCs w:val="21"/>
              </w:rPr>
              <w:t>老师。</w:t>
            </w:r>
          </w:p>
          <w:p>
            <w:pPr>
              <w:rPr>
                <w:color w:val="auto"/>
              </w:rPr>
            </w:pPr>
            <w:r>
              <w:rPr>
                <w:rFonts w:hint="eastAsia"/>
                <w:color w:val="auto"/>
                <w:szCs w:val="21"/>
              </w:rPr>
              <w:t>抽2培训时间：</w:t>
            </w:r>
            <w:r>
              <w:rPr>
                <w:rFonts w:hint="eastAsia"/>
                <w:color w:val="auto"/>
                <w:lang w:eastAsia="zh-CN"/>
              </w:rPr>
              <w:t>202</w:t>
            </w:r>
            <w:r>
              <w:rPr>
                <w:rFonts w:hint="eastAsia"/>
                <w:color w:val="auto"/>
                <w:lang w:val="en-US" w:eastAsia="zh-CN"/>
              </w:rPr>
              <w:t>1</w:t>
            </w:r>
            <w:r>
              <w:rPr>
                <w:rFonts w:hint="eastAsia"/>
                <w:color w:val="auto"/>
              </w:rPr>
              <w:t>.</w:t>
            </w:r>
            <w:r>
              <w:rPr>
                <w:rFonts w:hint="eastAsia"/>
                <w:color w:val="auto"/>
                <w:lang w:val="en-US" w:eastAsia="zh-CN"/>
              </w:rPr>
              <w:t>5.</w:t>
            </w:r>
            <w:r>
              <w:rPr>
                <w:rFonts w:hint="eastAsia"/>
                <w:color w:val="auto"/>
              </w:rPr>
              <w:t>1</w:t>
            </w:r>
            <w:r>
              <w:rPr>
                <w:rFonts w:hint="eastAsia"/>
                <w:color w:val="auto"/>
                <w:lang w:val="en-US" w:eastAsia="zh-CN"/>
              </w:rPr>
              <w:t>0</w:t>
            </w:r>
            <w:r>
              <w:rPr>
                <w:rFonts w:hint="eastAsia"/>
                <w:color w:val="auto"/>
                <w:szCs w:val="21"/>
              </w:rPr>
              <w:t>，培训人</w:t>
            </w:r>
            <w:r>
              <w:rPr>
                <w:rFonts w:hint="eastAsia"/>
                <w:color w:val="auto"/>
                <w:szCs w:val="21"/>
                <w:lang w:val="en-US" w:eastAsia="zh-CN"/>
              </w:rPr>
              <w:t>周</w:t>
            </w:r>
            <w:r>
              <w:rPr>
                <w:rFonts w:hint="eastAsia"/>
                <w:color w:val="auto"/>
              </w:rPr>
              <w:t>老师，</w:t>
            </w:r>
            <w:r>
              <w:rPr>
                <w:rFonts w:hint="eastAsia"/>
                <w:color w:val="auto"/>
                <w:szCs w:val="21"/>
              </w:rPr>
              <w:t>培训人员：</w:t>
            </w:r>
            <w:r>
              <w:rPr>
                <w:rFonts w:hint="eastAsia"/>
                <w:color w:val="auto"/>
                <w:lang w:val="en-US" w:eastAsia="zh-CN"/>
              </w:rPr>
              <w:t>全体</w:t>
            </w:r>
            <w:r>
              <w:rPr>
                <w:rFonts w:hint="eastAsia"/>
                <w:color w:val="auto"/>
              </w:rPr>
              <w:t>等</w:t>
            </w:r>
            <w:r>
              <w:rPr>
                <w:rFonts w:hint="eastAsia"/>
                <w:color w:val="auto"/>
                <w:szCs w:val="21"/>
              </w:rPr>
              <w:t xml:space="preserve"> 。培训有效性评价：培训内容：</w:t>
            </w:r>
            <w:r>
              <w:rPr>
                <w:rFonts w:hint="eastAsia" w:ascii="Times New Roman" w:hAnsi="Times New Roman" w:eastAsia="宋体" w:cs="Courier New"/>
                <w:color w:val="auto"/>
                <w:kern w:val="2"/>
                <w:sz w:val="21"/>
                <w:szCs w:val="21"/>
                <w:lang w:val="en-US" w:eastAsia="zh-CN" w:bidi="ar-SA"/>
              </w:rPr>
              <w:t>ISO50001：2018标准知识、</w:t>
            </w:r>
            <w:r>
              <w:rPr>
                <w:rFonts w:hint="eastAsia" w:hAnsi="宋体"/>
                <w:color w:val="auto"/>
                <w:szCs w:val="21"/>
              </w:rPr>
              <w:t>概念培训</w:t>
            </w:r>
            <w:r>
              <w:rPr>
                <w:rFonts w:hint="eastAsia"/>
                <w:color w:val="auto"/>
                <w:szCs w:val="21"/>
              </w:rPr>
              <w:t>，培训取得预期效果。评价人：</w:t>
            </w:r>
            <w:r>
              <w:rPr>
                <w:rFonts w:hint="eastAsia"/>
                <w:color w:val="auto"/>
                <w:szCs w:val="21"/>
                <w:lang w:val="en-US" w:eastAsia="zh-CN"/>
              </w:rPr>
              <w:t>周</w:t>
            </w:r>
            <w:r>
              <w:rPr>
                <w:rFonts w:hint="eastAsia"/>
                <w:color w:val="auto"/>
              </w:rPr>
              <w:t>老师</w:t>
            </w:r>
            <w:r>
              <w:rPr>
                <w:rFonts w:hint="eastAsia"/>
                <w:color w:val="auto"/>
                <w:szCs w:val="21"/>
              </w:rPr>
              <w:t xml:space="preserve">。 </w:t>
            </w:r>
          </w:p>
          <w:p>
            <w:pPr>
              <w:rPr>
                <w:rFonts w:hint="eastAsia"/>
              </w:rPr>
            </w:pPr>
            <w:r>
              <w:rPr>
                <w:rFonts w:hint="eastAsia"/>
                <w:color w:val="auto"/>
                <w:szCs w:val="21"/>
              </w:rPr>
              <w:t>抽3、</w:t>
            </w:r>
            <w:r>
              <w:rPr>
                <w:rFonts w:hint="eastAsia"/>
                <w:color w:val="auto"/>
                <w:lang w:eastAsia="zh-CN"/>
              </w:rPr>
              <w:t>202</w:t>
            </w:r>
            <w:r>
              <w:rPr>
                <w:rFonts w:hint="eastAsia"/>
                <w:color w:val="auto"/>
                <w:lang w:val="en-US" w:eastAsia="zh-CN"/>
              </w:rPr>
              <w:t>1</w:t>
            </w:r>
            <w:r>
              <w:rPr>
                <w:rFonts w:hint="eastAsia"/>
                <w:color w:val="auto"/>
              </w:rPr>
              <w:t xml:space="preserve"> .</w:t>
            </w:r>
            <w:r>
              <w:rPr>
                <w:rFonts w:hint="eastAsia"/>
                <w:color w:val="auto"/>
                <w:lang w:val="en-US" w:eastAsia="zh-CN"/>
              </w:rPr>
              <w:t>5.15</w:t>
            </w:r>
            <w:r>
              <w:rPr>
                <w:rFonts w:hint="eastAsia"/>
                <w:color w:val="auto"/>
                <w:szCs w:val="21"/>
              </w:rPr>
              <w:t>培训记录：管理手册、程序文件培训。培训取得预期效果。参加人员：</w:t>
            </w:r>
            <w:r>
              <w:rPr>
                <w:rFonts w:hint="eastAsia"/>
                <w:color w:val="auto"/>
                <w:lang w:val="en-US" w:eastAsia="zh-CN"/>
              </w:rPr>
              <w:t>全体</w:t>
            </w:r>
            <w:r>
              <w:rPr>
                <w:rFonts w:hint="eastAsia"/>
                <w:color w:val="auto"/>
                <w:szCs w:val="21"/>
              </w:rPr>
              <w:t>。训有效性评价：培训取得预期效果。评价人：</w:t>
            </w:r>
            <w:r>
              <w:rPr>
                <w:rFonts w:hint="eastAsia"/>
                <w:color w:val="auto"/>
                <w:szCs w:val="21"/>
                <w:lang w:val="en-US" w:eastAsia="zh-CN"/>
              </w:rPr>
              <w:t>周</w:t>
            </w:r>
            <w:r>
              <w:rPr>
                <w:rFonts w:hint="eastAsia"/>
                <w:color w:val="auto"/>
              </w:rPr>
              <w:t>老师</w:t>
            </w:r>
            <w:r>
              <w:rPr>
                <w:rFonts w:hint="eastAsia"/>
                <w:color w:val="auto"/>
                <w:szCs w:val="21"/>
              </w:rPr>
              <w:t>。</w:t>
            </w:r>
          </w:p>
          <w:p>
            <w:pPr>
              <w:ind w:firstLine="210" w:firstLineChars="100"/>
              <w:rPr>
                <w:color w:val="auto"/>
                <w:szCs w:val="21"/>
              </w:rPr>
            </w:pPr>
            <w:r>
              <w:rPr>
                <w:rFonts w:hint="eastAsia"/>
                <w:color w:val="auto"/>
                <w:szCs w:val="21"/>
              </w:rPr>
              <w:t>通过下发文件、能力提升培训等方式使公司控制范围内开展工作的人员知晓管理方针及相关的</w:t>
            </w:r>
            <w:r>
              <w:rPr>
                <w:rFonts w:hint="eastAsia"/>
                <w:color w:val="auto"/>
                <w:szCs w:val="21"/>
                <w:lang w:val="en-US" w:eastAsia="zh-CN"/>
              </w:rPr>
              <w:t>能源及环节</w:t>
            </w:r>
            <w:r>
              <w:rPr>
                <w:rFonts w:hint="eastAsia"/>
                <w:color w:val="auto"/>
                <w:szCs w:val="21"/>
              </w:rPr>
              <w:t>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pStyle w:val="15"/>
              <w:ind w:firstLine="460" w:firstLineChars="200"/>
              <w:rPr>
                <w:rFonts w:hint="eastAsia"/>
                <w:color w:val="auto"/>
                <w:szCs w:val="21"/>
              </w:rPr>
            </w:pPr>
            <w:r>
              <w:rPr>
                <w:rFonts w:hint="eastAsia"/>
                <w:color w:val="auto"/>
                <w:szCs w:val="21"/>
              </w:rPr>
              <w:t>抽查一名员工，询问公司质量方针和目标，及对方针的了解，能够正确回答。</w:t>
            </w:r>
            <w:r>
              <w:rPr>
                <w:rFonts w:hint="eastAsia"/>
                <w:color w:val="auto"/>
                <w:lang w:val="en-US" w:eastAsia="zh-CN"/>
              </w:rPr>
              <w:t xml:space="preserve">  </w:t>
            </w:r>
            <w:r>
              <w:rPr>
                <w:rFonts w:hint="eastAsia"/>
                <w:color w:val="auto"/>
                <w:szCs w:val="21"/>
              </w:rPr>
              <w:t>人力资源控制基本满足要求。</w:t>
            </w:r>
          </w:p>
          <w:p>
            <w:pPr>
              <w:pStyle w:val="15"/>
              <w:ind w:firstLine="460" w:firstLineChars="200"/>
              <w:rPr>
                <w:rFonts w:hint="eastAsia"/>
                <w:color w:val="auto"/>
                <w:szCs w:val="21"/>
                <w:lang w:val="en-US" w:eastAsia="zh-CN"/>
              </w:rPr>
            </w:pPr>
          </w:p>
        </w:tc>
        <w:tc>
          <w:tcPr>
            <w:tcW w:w="1100" w:type="dxa"/>
            <w:vAlign w:val="top"/>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信息交流</w:t>
            </w:r>
          </w:p>
        </w:tc>
        <w:tc>
          <w:tcPr>
            <w:tcW w:w="960" w:type="dxa"/>
            <w:vAlign w:val="top"/>
          </w:tcPr>
          <w:p>
            <w:pP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7.4</w:t>
            </w:r>
          </w:p>
        </w:tc>
        <w:tc>
          <w:tcPr>
            <w:tcW w:w="10489"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策划编制的程序文件《信息交流控制程序》及管理手册的相关章节规定了企业内、外部沟通和协商的要求，经查阅和交谈符合标准要求。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总经理负责在公司建立畅通的沟通渠道。管理者代表是公司内部和外部信息交流和沟通的负责人。综合</w:t>
            </w:r>
            <w:r>
              <w:rPr>
                <w:rFonts w:hint="eastAsia" w:ascii="宋体" w:hAnsi="宋体" w:cs="宋体"/>
                <w:color w:val="auto"/>
                <w:sz w:val="24"/>
                <w:szCs w:val="24"/>
                <w:lang w:val="en-US" w:eastAsia="zh-CN"/>
              </w:rPr>
              <w:t>管理</w:t>
            </w:r>
            <w:r>
              <w:rPr>
                <w:rFonts w:hint="eastAsia" w:ascii="宋体" w:hAnsi="宋体" w:eastAsia="宋体" w:cs="宋体"/>
                <w:color w:val="auto"/>
                <w:sz w:val="24"/>
                <w:szCs w:val="24"/>
                <w:lang w:val="en-US" w:eastAsia="zh-CN"/>
              </w:rPr>
              <w:t>部是公司内部和外部信息交流和协商的归口综合部。负责与上级主管部门及周边单位的信息交流；负责与管理体系、法律法规等有关的内部和外部信息交流；负责与采购供方、客户等相关方之间的沟通。各部门收集到有关能源管理及节能方面的信息，包括法律法规等，及时向综合部反馈。项目部负责顾客要求方面的有关事宜的沟通。</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目前各项沟通都较为及时、顺畅、效果较好。</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运行策划和控制</w:t>
            </w:r>
          </w:p>
        </w:tc>
        <w:tc>
          <w:tcPr>
            <w:tcW w:w="960" w:type="dxa"/>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8.1</w:t>
            </w:r>
          </w:p>
        </w:tc>
        <w:tc>
          <w:tcPr>
            <w:tcW w:w="10489" w:type="dxa"/>
            <w:vAlign w:val="top"/>
          </w:tcPr>
          <w:p>
            <w:pPr>
              <w:rPr>
                <w:rFonts w:hint="eastAsia"/>
                <w:color w:val="auto"/>
                <w:lang w:val="en-US" w:eastAsia="zh-CN"/>
              </w:rPr>
            </w:pPr>
            <w:r>
              <w:rPr>
                <w:rFonts w:hint="eastAsia"/>
                <w:color w:val="auto"/>
                <w:lang w:val="en-US" w:eastAsia="zh-CN"/>
              </w:rPr>
              <w:t>编制了《能源管理制度》、《节能降耗管理制度》、《设备管理制度》等；</w:t>
            </w:r>
          </w:p>
          <w:p>
            <w:pPr>
              <w:rPr>
                <w:rFonts w:hint="default"/>
                <w:color w:val="auto"/>
                <w:lang w:val="en-US" w:eastAsia="zh-CN"/>
              </w:rPr>
            </w:pPr>
            <w:r>
              <w:rPr>
                <w:rFonts w:hint="eastAsia"/>
                <w:color w:val="auto"/>
                <w:lang w:val="en-US" w:eastAsia="zh-CN"/>
              </w:rPr>
              <w:t>运行情况：</w:t>
            </w:r>
          </w:p>
          <w:p>
            <w:pPr>
              <w:rPr>
                <w:rFonts w:hint="default"/>
                <w:color w:val="auto"/>
                <w:lang w:val="en-US" w:eastAsia="zh-CN"/>
              </w:rPr>
            </w:pPr>
            <w:r>
              <w:rPr>
                <w:rFonts w:hint="eastAsia"/>
                <w:color w:val="auto"/>
                <w:lang w:val="en-US" w:eastAsia="zh-CN"/>
              </w:rPr>
              <w:t>1节电控制：行政中心</w:t>
            </w:r>
            <w:r>
              <w:rPr>
                <w:rFonts w:hint="default"/>
                <w:color w:val="auto"/>
                <w:lang w:val="en-US" w:eastAsia="zh-CN"/>
              </w:rPr>
              <w:t>全体人员树立节约用电、安全用电意识。在工作需要时开灯，人离</w:t>
            </w:r>
            <w:r>
              <w:rPr>
                <w:rFonts w:hint="eastAsia"/>
                <w:color w:val="auto"/>
                <w:lang w:val="en-US" w:eastAsia="zh-CN"/>
              </w:rPr>
              <w:t>行政中心</w:t>
            </w:r>
            <w:r>
              <w:rPr>
                <w:rFonts w:hint="default"/>
                <w:color w:val="auto"/>
                <w:lang w:val="en-US" w:eastAsia="zh-CN"/>
              </w:rPr>
              <w:t xml:space="preserve">必须随手关灯，光线好的房间，必须关闭照明设备。。走廊、楼道里的灯要随手关闭，办公场所应关闭不必要的夜间照明。  </w:t>
            </w:r>
            <w:r>
              <w:rPr>
                <w:rFonts w:hint="eastAsia"/>
                <w:color w:val="auto"/>
                <w:lang w:val="en-US" w:eastAsia="zh-CN"/>
              </w:rPr>
              <w:t>现场观察符合要求</w:t>
            </w:r>
          </w:p>
          <w:p>
            <w:pPr>
              <w:rPr>
                <w:rFonts w:hint="default"/>
                <w:color w:val="auto"/>
                <w:lang w:val="en-US" w:eastAsia="zh-CN"/>
              </w:rPr>
            </w:pPr>
            <w:r>
              <w:rPr>
                <w:rFonts w:hint="default"/>
                <w:color w:val="auto"/>
                <w:lang w:val="en-US" w:eastAsia="zh-CN"/>
              </w:rPr>
              <w:t xml:space="preserve"> </w:t>
            </w:r>
            <w:r>
              <w:rPr>
                <w:rFonts w:hint="eastAsia"/>
                <w:color w:val="auto"/>
                <w:lang w:val="en-US" w:eastAsia="zh-CN"/>
              </w:rPr>
              <w:t>2</w:t>
            </w:r>
            <w:r>
              <w:rPr>
                <w:rFonts w:hint="default"/>
                <w:color w:val="auto"/>
                <w:lang w:val="en-US" w:eastAsia="zh-CN"/>
              </w:rPr>
              <w:t>尽量少用空调设备，必须使用空调时，按统一规定执行。如发现下班后未关闭空调设备，对部门负责人</w:t>
            </w:r>
            <w:r>
              <w:rPr>
                <w:rFonts w:hint="eastAsia"/>
                <w:color w:val="auto"/>
                <w:lang w:val="en-US" w:eastAsia="zh-CN"/>
              </w:rPr>
              <w:t>进行批评教育，现场观察符合要求</w:t>
            </w:r>
          </w:p>
          <w:p>
            <w:pPr>
              <w:rPr>
                <w:rFonts w:hint="eastAsia"/>
                <w:color w:val="auto"/>
                <w:lang w:val="en-US" w:eastAsia="zh-CN"/>
              </w:rPr>
            </w:pPr>
            <w:r>
              <w:rPr>
                <w:rFonts w:hint="eastAsia"/>
                <w:color w:val="auto"/>
                <w:lang w:val="en-US" w:eastAsia="zh-CN"/>
              </w:rPr>
              <w:t>3</w:t>
            </w:r>
            <w:r>
              <w:rPr>
                <w:rFonts w:hint="default"/>
                <w:color w:val="auto"/>
                <w:lang w:val="en-US" w:eastAsia="zh-CN"/>
              </w:rPr>
              <w:t xml:space="preserve">电脑设备不使用时，要进入低能耗休眠状态，减少待机能耗。工作完后，及时关闭计算机、打印机、传真机等设备，下班后无待机现象。  </w:t>
            </w:r>
            <w:r>
              <w:rPr>
                <w:rFonts w:hint="eastAsia"/>
                <w:color w:val="auto"/>
                <w:lang w:val="en-US" w:eastAsia="zh-CN"/>
              </w:rPr>
              <w:t>现场观察符合要求</w:t>
            </w:r>
          </w:p>
          <w:p>
            <w:pPr>
              <w:rPr>
                <w:rFonts w:hint="default"/>
                <w:color w:val="auto"/>
                <w:lang w:val="en-US" w:eastAsia="zh-CN"/>
              </w:rPr>
            </w:pPr>
            <w:r>
              <w:rPr>
                <w:rFonts w:hint="eastAsia"/>
                <w:color w:val="auto"/>
                <w:lang w:val="en-US" w:eastAsia="zh-CN"/>
              </w:rPr>
              <w:t>4</w:t>
            </w:r>
            <w:r>
              <w:rPr>
                <w:rFonts w:hint="default"/>
                <w:color w:val="auto"/>
                <w:lang w:val="en-US" w:eastAsia="zh-CN"/>
              </w:rPr>
              <w:t>各</w:t>
            </w:r>
            <w:r>
              <w:rPr>
                <w:rFonts w:hint="eastAsia"/>
                <w:color w:val="auto"/>
                <w:lang w:val="en-US" w:eastAsia="zh-CN"/>
              </w:rPr>
              <w:t>行政中心</w:t>
            </w:r>
            <w:r>
              <w:rPr>
                <w:rFonts w:hint="default"/>
                <w:color w:val="auto"/>
                <w:lang w:val="en-US" w:eastAsia="zh-CN"/>
              </w:rPr>
              <w:t>电脑、空调、电扇、饮水机等一切电器设备应在下班时确保关闭</w:t>
            </w:r>
            <w:r>
              <w:rPr>
                <w:rFonts w:hint="eastAsia"/>
                <w:color w:val="auto"/>
                <w:lang w:val="en-US" w:eastAsia="zh-CN"/>
              </w:rPr>
              <w:t>.现场观察，符合要求</w:t>
            </w:r>
          </w:p>
          <w:p>
            <w:pPr>
              <w:rPr>
                <w:rFonts w:hint="eastAsia"/>
                <w:color w:val="auto"/>
                <w:lang w:val="en-US" w:eastAsia="zh-CN"/>
              </w:rPr>
            </w:pPr>
            <w:r>
              <w:rPr>
                <w:rFonts w:hint="eastAsia"/>
                <w:color w:val="auto"/>
                <w:lang w:val="en-US" w:eastAsia="zh-CN"/>
              </w:rPr>
              <w:t>5</w:t>
            </w:r>
            <w:r>
              <w:rPr>
                <w:rFonts w:hint="default"/>
                <w:color w:val="auto"/>
                <w:lang w:val="en-US" w:eastAsia="zh-CN"/>
              </w:rPr>
              <w:t>严禁在</w:t>
            </w:r>
            <w:r>
              <w:rPr>
                <w:rFonts w:hint="eastAsia"/>
                <w:color w:val="auto"/>
                <w:lang w:val="en-US" w:eastAsia="zh-CN"/>
              </w:rPr>
              <w:t>行政中心</w:t>
            </w:r>
            <w:r>
              <w:rPr>
                <w:rFonts w:hint="default"/>
                <w:color w:val="auto"/>
                <w:lang w:val="en-US" w:eastAsia="zh-CN"/>
              </w:rPr>
              <w:t>使用电炉、电暖气、电热水壶等高压负荷电器，不得随意搭接电线设备</w:t>
            </w:r>
            <w:r>
              <w:rPr>
                <w:rFonts w:hint="eastAsia"/>
                <w:color w:val="auto"/>
                <w:lang w:val="en-US" w:eastAsia="zh-CN"/>
              </w:rPr>
              <w:t>.现场观察符合要求</w:t>
            </w:r>
          </w:p>
          <w:p>
            <w:pPr>
              <w:rPr>
                <w:rFonts w:hint="eastAsia"/>
                <w:color w:val="auto"/>
                <w:lang w:val="en-US" w:eastAsia="zh-CN"/>
              </w:rPr>
            </w:pPr>
            <w:r>
              <w:rPr>
                <w:rFonts w:hint="eastAsia"/>
                <w:color w:val="auto"/>
                <w:lang w:val="en-US" w:eastAsia="zh-CN"/>
              </w:rPr>
              <w:t>行政中心区域：节水，水龙头没有滴水情况，中水擦地、浇水、冲厕所</w:t>
            </w:r>
          </w:p>
          <w:p>
            <w:pPr>
              <w:rPr>
                <w:rFonts w:hint="default"/>
                <w:color w:val="auto"/>
                <w:lang w:val="en-US" w:eastAsia="zh-CN"/>
              </w:rPr>
            </w:pPr>
            <w:r>
              <w:rPr>
                <w:rFonts w:hint="eastAsia"/>
                <w:color w:val="auto"/>
                <w:lang w:val="en-US" w:eastAsia="zh-CN"/>
              </w:rPr>
              <w:t>能源管理：现场采用声控节能灯，未发现有漏水和浪费电能的现象。</w:t>
            </w:r>
          </w:p>
          <w:p>
            <w:pPr>
              <w:pStyle w:val="3"/>
              <w:rPr>
                <w:rFonts w:hint="default"/>
                <w:lang w:val="en-US" w:eastAsia="zh-CN"/>
              </w:rPr>
            </w:pPr>
          </w:p>
        </w:tc>
        <w:tc>
          <w:tcPr>
            <w:tcW w:w="1100" w:type="dxa"/>
            <w:vAlign w:val="top"/>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不符合和纠正措施</w:t>
            </w: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tc>
        <w:tc>
          <w:tcPr>
            <w:tcW w:w="960" w:type="dxa"/>
            <w:vAlign w:val="top"/>
          </w:tcPr>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10.1</w:t>
            </w: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tc>
        <w:tc>
          <w:tcPr>
            <w:tcW w:w="10489" w:type="dxa"/>
            <w:vAlign w:val="top"/>
          </w:tcPr>
          <w:p>
            <w:pPr>
              <w:spacing w:line="36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查内审不符合1项、有不符合项内容描述、原因分析、及纠正措施的实施及验证信息；不符合纠正措施验证有效、不符合关闭；</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公司制定《纠正预防措施控制程序》，规定了纠正措施的来源,明确了对不合格项应进行原因分析,制定纠正措施计划,实施跟踪验证,确保所采取 的纠正措施满足预期要求。</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内审中发现的不符合项已经采取纠正措施，整改完毕且有效。</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通过交谈，基本能清楚纠正和预防措施的控制要求。改进的示例包括纠正、纠正措施、持续改进。</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根据不同过程、不同产品和不同要求，采取不同的方法进行监视、测量和分析。无其他不符合发生。</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公司利用En方针、目标、内审和外审、数据分析、纠正和预防措施以及管理评审，识别任何改进的机会，持续改进质量管理体系的适宜性、充分性和有效性。</w:t>
            </w:r>
          </w:p>
        </w:tc>
        <w:tc>
          <w:tcPr>
            <w:tcW w:w="1100" w:type="dxa"/>
            <w:vAlign w:val="top"/>
          </w:tcPr>
          <w:p>
            <w:pPr>
              <w:rPr>
                <w:color w:val="auto"/>
              </w:rPr>
            </w:p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9"/>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7989"/>
    <w:rsid w:val="042862ED"/>
    <w:rsid w:val="066B79A8"/>
    <w:rsid w:val="07AC18F2"/>
    <w:rsid w:val="0A6A1554"/>
    <w:rsid w:val="0B2F2444"/>
    <w:rsid w:val="0FF44133"/>
    <w:rsid w:val="103A2607"/>
    <w:rsid w:val="10824623"/>
    <w:rsid w:val="10A967B9"/>
    <w:rsid w:val="12265489"/>
    <w:rsid w:val="1291364C"/>
    <w:rsid w:val="12B94D11"/>
    <w:rsid w:val="148168D6"/>
    <w:rsid w:val="16461BF9"/>
    <w:rsid w:val="16AE7486"/>
    <w:rsid w:val="1768237D"/>
    <w:rsid w:val="17F71F65"/>
    <w:rsid w:val="1B0E253E"/>
    <w:rsid w:val="22516447"/>
    <w:rsid w:val="22F07A84"/>
    <w:rsid w:val="246A3245"/>
    <w:rsid w:val="24F33525"/>
    <w:rsid w:val="24F82A34"/>
    <w:rsid w:val="2573164D"/>
    <w:rsid w:val="284E1D5B"/>
    <w:rsid w:val="28AB754A"/>
    <w:rsid w:val="29801B7A"/>
    <w:rsid w:val="29AD5457"/>
    <w:rsid w:val="2CD9740B"/>
    <w:rsid w:val="2DC36F7A"/>
    <w:rsid w:val="351C2720"/>
    <w:rsid w:val="36797100"/>
    <w:rsid w:val="36D74EBC"/>
    <w:rsid w:val="3B0B118D"/>
    <w:rsid w:val="3C033575"/>
    <w:rsid w:val="3FBE386E"/>
    <w:rsid w:val="403F79C4"/>
    <w:rsid w:val="42483FE4"/>
    <w:rsid w:val="44513AB2"/>
    <w:rsid w:val="45A4501C"/>
    <w:rsid w:val="47EC6D81"/>
    <w:rsid w:val="495D0CC2"/>
    <w:rsid w:val="4B946D42"/>
    <w:rsid w:val="4D4D66CE"/>
    <w:rsid w:val="4EFF2013"/>
    <w:rsid w:val="4F323AB9"/>
    <w:rsid w:val="536212BA"/>
    <w:rsid w:val="536F19B2"/>
    <w:rsid w:val="53FF54C0"/>
    <w:rsid w:val="555F30D1"/>
    <w:rsid w:val="565A330A"/>
    <w:rsid w:val="56EE3107"/>
    <w:rsid w:val="5C5C3AFC"/>
    <w:rsid w:val="5C7A5750"/>
    <w:rsid w:val="5CFD0918"/>
    <w:rsid w:val="5DA47360"/>
    <w:rsid w:val="5DF52D98"/>
    <w:rsid w:val="5EA95088"/>
    <w:rsid w:val="603F5B71"/>
    <w:rsid w:val="60527450"/>
    <w:rsid w:val="613913A0"/>
    <w:rsid w:val="633E6947"/>
    <w:rsid w:val="63E70002"/>
    <w:rsid w:val="64A74FCF"/>
    <w:rsid w:val="65705F30"/>
    <w:rsid w:val="676F3C4A"/>
    <w:rsid w:val="69B25C14"/>
    <w:rsid w:val="6CFD6C0C"/>
    <w:rsid w:val="6D896AE7"/>
    <w:rsid w:val="6EE76570"/>
    <w:rsid w:val="720D6AAF"/>
    <w:rsid w:val="742F48F9"/>
    <w:rsid w:val="79DC538C"/>
    <w:rsid w:val="7D4708C0"/>
    <w:rsid w:val="7DB920E5"/>
    <w:rsid w:val="7EA26C89"/>
    <w:rsid w:val="7EE73F2D"/>
    <w:rsid w:val="7EE93D41"/>
    <w:rsid w:val="7FD21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0"/>
    <w:rPr>
      <w:sz w:val="24"/>
    </w:rPr>
  </w:style>
  <w:style w:type="paragraph" w:styleId="4">
    <w:name w:val="Body Text Indent"/>
    <w:basedOn w:val="1"/>
    <w:next w:val="5"/>
    <w:unhideWhenUsed/>
    <w:qFormat/>
    <w:uiPriority w:val="0"/>
    <w:pPr>
      <w:spacing w:beforeLines="0" w:after="120" w:afterLines="0"/>
      <w:ind w:left="200" w:leftChars="200"/>
    </w:pPr>
    <w:rPr>
      <w:rFonts w:hint="default"/>
      <w:sz w:val="24"/>
    </w:rPr>
  </w:style>
  <w:style w:type="paragraph" w:styleId="5">
    <w:name w:val="toc 3"/>
    <w:basedOn w:val="1"/>
    <w:next w:val="1"/>
    <w:unhideWhenUsed/>
    <w:qFormat/>
    <w:uiPriority w:val="0"/>
    <w:pPr>
      <w:spacing w:beforeLines="0" w:afterLines="0"/>
      <w:ind w:left="400" w:leftChars="400"/>
    </w:pPr>
    <w:rPr>
      <w:rFonts w:hint="default"/>
      <w:sz w:val="21"/>
    </w:rPr>
  </w:style>
  <w:style w:type="paragraph" w:styleId="6">
    <w:name w:val="Block Text"/>
    <w:basedOn w:val="1"/>
    <w:qFormat/>
    <w:uiPriority w:val="0"/>
    <w:pPr>
      <w:ind w:left="-178" w:leftChars="-85" w:right="1105" w:rightChars="526" w:firstLine="560" w:firstLineChars="200"/>
    </w:pPr>
    <w:rPr>
      <w:rFonts w:eastAsia="仿宋_GB2312"/>
      <w:sz w:val="28"/>
    </w:rPr>
  </w:style>
  <w:style w:type="paragraph" w:styleId="7">
    <w:name w:val="Plain Text"/>
    <w:basedOn w:val="1"/>
    <w:qFormat/>
    <w:uiPriority w:val="0"/>
    <w:rPr>
      <w:rFonts w:ascii="宋体" w:hAnsi="Courier New" w:cs="Courier New"/>
      <w:szCs w:val="21"/>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autoSpaceDE/>
      <w:autoSpaceDN/>
    </w:pPr>
    <w:rPr>
      <w:rFonts w:ascii="Calibri" w:hAnsi="Calibri" w:eastAsia="宋体"/>
      <w:sz w:val="24"/>
      <w:szCs w:val="24"/>
      <w:lang w:val="en-US" w:bidi="ar-SA"/>
    </w:rPr>
  </w:style>
  <w:style w:type="paragraph" w:styleId="12">
    <w:name w:val="Body Text First Indent 2"/>
    <w:basedOn w:val="4"/>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spacing w:before="92"/>
      <w:ind w:left="980" w:hanging="601"/>
    </w:pPr>
    <w:rPr>
      <w:rFonts w:ascii="宋体" w:hAnsi="宋体" w:eastAsia="宋体" w:cs="宋体"/>
      <w:lang w:val="zh-CN" w:eastAsia="zh-CN" w:bidi="zh-CN"/>
    </w:rPr>
  </w:style>
  <w:style w:type="character" w:customStyle="1" w:styleId="22">
    <w:name w:val="样式 页眉 + 五号 Char"/>
    <w:link w:val="23"/>
    <w:qFormat/>
    <w:uiPriority w:val="0"/>
    <w:rPr>
      <w:rFonts w:ascii="Calibri" w:hAnsi="Calibri"/>
      <w:sz w:val="20"/>
    </w:rPr>
  </w:style>
  <w:style w:type="paragraph" w:customStyle="1" w:styleId="23">
    <w:name w:val="样式 页眉 + 五号"/>
    <w:basedOn w:val="10"/>
    <w:link w:val="22"/>
    <w:qFormat/>
    <w:uiPriority w:val="0"/>
    <w:pPr>
      <w:pBdr>
        <w:bottom w:val="none" w:color="auto" w:sz="0" w:space="0"/>
      </w:pBdr>
    </w:pPr>
    <w:rPr>
      <w:rFonts w:ascii="Calibri" w:hAnsi="Calibri"/>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4554</Words>
  <Characters>4812</Characters>
  <Lines>1</Lines>
  <Paragraphs>1</Paragraphs>
  <TotalTime>1</TotalTime>
  <ScaleCrop>false</ScaleCrop>
  <LinksUpToDate>false</LinksUpToDate>
  <CharactersWithSpaces>4911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2021-11-21T08:12:45Z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24620FE07F824CEF9347841678D27BAF</vt:lpwstr>
  </property>
</Properties>
</file>