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110"/>
        <w:gridCol w:w="14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0110" w:type="dxa"/>
            <w:vAlign w:val="center"/>
          </w:tcPr>
          <w:p>
            <w:pPr>
              <w:rPr>
                <w:rFonts w:hint="default" w:ascii="宋体" w:hAnsi="宋体" w:cs="宋体"/>
                <w:color w:val="auto"/>
                <w:sz w:val="24"/>
                <w:szCs w:val="24"/>
                <w:lang w:val="en-US" w:eastAsia="zh-CN"/>
              </w:rPr>
            </w:pPr>
            <w:r>
              <w:rPr>
                <w:rFonts w:hint="eastAsia" w:ascii="宋体" w:hAnsi="宋体" w:cs="宋体"/>
                <w:color w:val="auto"/>
                <w:sz w:val="24"/>
                <w:szCs w:val="24"/>
              </w:rPr>
              <w:t>受审核部门：</w:t>
            </w:r>
            <w:r>
              <w:rPr>
                <w:rFonts w:hint="eastAsia" w:ascii="宋体" w:hAnsi="宋体" w:cs="宋体"/>
                <w:color w:val="auto"/>
                <w:sz w:val="24"/>
                <w:szCs w:val="24"/>
                <w:lang w:val="en-US" w:eastAsia="zh-CN"/>
              </w:rPr>
              <w:t>财务部</w:t>
            </w:r>
            <w:r>
              <w:rPr>
                <w:rFonts w:hint="eastAsia" w:ascii="宋体" w:hAnsi="宋体" w:cs="宋体"/>
                <w:color w:val="auto"/>
                <w:sz w:val="24"/>
                <w:szCs w:val="24"/>
              </w:rPr>
              <w:t xml:space="preserve">       主管领导：</w:t>
            </w:r>
            <w:r>
              <w:rPr>
                <w:rFonts w:hint="eastAsia"/>
                <w:lang w:val="en-US" w:eastAsia="zh-CN"/>
              </w:rPr>
              <w:t xml:space="preserve">朱裁军      </w:t>
            </w:r>
            <w:r>
              <w:rPr>
                <w:rFonts w:hint="eastAsia" w:ascii="宋体" w:hAnsi="宋体" w:cs="宋体"/>
                <w:color w:val="auto"/>
                <w:sz w:val="24"/>
                <w:szCs w:val="24"/>
              </w:rPr>
              <w:t xml:space="preserve">陪同人员： </w:t>
            </w:r>
            <w:r>
              <w:rPr>
                <w:rFonts w:hint="eastAsia"/>
                <w:lang w:val="en-US" w:eastAsia="zh-CN"/>
              </w:rPr>
              <w:t>周士飞</w:t>
            </w:r>
          </w:p>
        </w:tc>
        <w:tc>
          <w:tcPr>
            <w:tcW w:w="1479"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110" w:type="dxa"/>
            <w:vAlign w:val="center"/>
          </w:tcPr>
          <w:p>
            <w:pPr>
              <w:jc w:val="both"/>
              <w:rPr>
                <w:rFonts w:hint="default" w:ascii="宋体" w:hAnsi="宋体" w:cs="宋体"/>
                <w:color w:val="auto"/>
                <w:sz w:val="24"/>
                <w:szCs w:val="24"/>
                <w:lang w:val="en-US" w:eastAsia="zh-CN"/>
              </w:rPr>
            </w:pPr>
            <w:r>
              <w:rPr>
                <w:rFonts w:hint="eastAsia" w:ascii="宋体" w:hAnsi="宋体" w:cs="宋体"/>
                <w:color w:val="auto"/>
                <w:sz w:val="24"/>
                <w:szCs w:val="24"/>
              </w:rPr>
              <w:t xml:space="preserve">审核员：    </w:t>
            </w:r>
            <w:r>
              <w:rPr>
                <w:rFonts w:hint="eastAsia" w:ascii="宋体" w:hAnsi="宋体" w:cs="宋体"/>
                <w:color w:val="auto"/>
                <w:sz w:val="24"/>
                <w:szCs w:val="24"/>
                <w:lang w:val="en-US" w:eastAsia="zh-CN"/>
              </w:rPr>
              <w:t>李京田</w:t>
            </w:r>
            <w:r>
              <w:rPr>
                <w:rFonts w:hint="eastAsia" w:ascii="宋体" w:hAnsi="宋体" w:cs="宋体"/>
                <w:color w:val="auto"/>
                <w:sz w:val="24"/>
                <w:szCs w:val="24"/>
              </w:rPr>
              <w:t xml:space="preserve"> </w:t>
            </w:r>
            <w:r>
              <w:rPr>
                <w:rFonts w:hint="eastAsia"/>
                <w:lang w:val="en-US" w:eastAsia="zh-CN"/>
              </w:rPr>
              <w:t xml:space="preserve">          </w:t>
            </w:r>
            <w:r>
              <w:rPr>
                <w:rFonts w:hint="eastAsia" w:ascii="宋体" w:hAnsi="宋体" w:cs="宋体"/>
                <w:color w:val="auto"/>
                <w:sz w:val="24"/>
                <w:szCs w:val="24"/>
              </w:rPr>
              <w:t xml:space="preserve"> 审核时间：2021.</w:t>
            </w:r>
            <w:r>
              <w:rPr>
                <w:rFonts w:hint="eastAsia" w:ascii="宋体" w:hAnsi="宋体" w:cs="宋体"/>
                <w:color w:val="auto"/>
                <w:sz w:val="24"/>
                <w:szCs w:val="24"/>
                <w:lang w:val="en-US" w:eastAsia="zh-CN"/>
              </w:rPr>
              <w:t>11.15</w:t>
            </w:r>
          </w:p>
        </w:tc>
        <w:tc>
          <w:tcPr>
            <w:tcW w:w="1479"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110" w:type="dxa"/>
            <w:vAlign w:val="center"/>
          </w:tcPr>
          <w:p>
            <w:pPr>
              <w:snapToGrid w:val="0"/>
              <w:spacing w:line="320" w:lineRule="exact"/>
              <w:jc w:val="left"/>
              <w:rPr>
                <w:rFonts w:hint="eastAsia" w:ascii="宋体" w:hAnsi="宋体" w:eastAsia="宋体" w:cs="宋体"/>
                <w:color w:val="auto"/>
                <w:sz w:val="24"/>
                <w:szCs w:val="24"/>
              </w:rPr>
            </w:pPr>
            <w:r>
              <w:rPr>
                <w:rFonts w:hint="eastAsia"/>
                <w:color w:val="auto"/>
                <w:sz w:val="24"/>
                <w:szCs w:val="24"/>
              </w:rPr>
              <w:t>审核条款</w:t>
            </w:r>
            <w:r>
              <w:rPr>
                <w:rFonts w:hint="eastAsia" w:ascii="宋体" w:hAnsi="宋体" w:eastAsia="宋体" w:cs="宋体"/>
                <w:color w:val="auto"/>
                <w:sz w:val="24"/>
                <w:szCs w:val="24"/>
              </w:rPr>
              <w:t>：</w:t>
            </w:r>
          </w:p>
          <w:p>
            <w:pPr>
              <w:snapToGrid w:val="0"/>
              <w:spacing w:line="320" w:lineRule="exact"/>
              <w:jc w:val="left"/>
              <w:rPr>
                <w:rFonts w:hint="default" w:eastAsia="宋体"/>
                <w:color w:val="auto"/>
                <w:sz w:val="24"/>
                <w:szCs w:val="24"/>
                <w:lang w:val="en-US" w:eastAsia="zh-CN"/>
              </w:rPr>
            </w:pPr>
            <w:r>
              <w:rPr>
                <w:rFonts w:hint="eastAsia" w:asciiTheme="minorEastAsia" w:hAnsiTheme="minorEastAsia" w:eastAsiaTheme="minorEastAsia" w:cstheme="minorEastAsia"/>
                <w:b/>
                <w:bCs/>
                <w:color w:val="auto"/>
                <w:sz w:val="18"/>
                <w:szCs w:val="18"/>
                <w:u w:val="none"/>
                <w:lang w:val="en-US" w:eastAsia="zh-CN"/>
              </w:rPr>
              <w:t>En ：</w:t>
            </w:r>
            <w:r>
              <w:rPr>
                <w:rFonts w:hint="eastAsia" w:ascii="宋体" w:hAnsi="宋体"/>
                <w:szCs w:val="21"/>
              </w:rPr>
              <w:t>5.3 组织的岗位、职责和权限、6.2 目标、能源指及其实现的策划、8.1 运行的策划和控制</w:t>
            </w:r>
            <w:r>
              <w:rPr>
                <w:rFonts w:hint="eastAsia" w:ascii="宋体" w:hAnsi="宋体"/>
                <w:szCs w:val="21"/>
                <w:lang w:eastAsia="zh-CN"/>
              </w:rPr>
              <w:t>；</w:t>
            </w:r>
            <w:r>
              <w:rPr>
                <w:rFonts w:hint="eastAsia" w:ascii="宋体" w:hAnsi="宋体"/>
                <w:szCs w:val="21"/>
                <w:lang w:val="en-US" w:eastAsia="zh-CN"/>
              </w:rPr>
              <w:t xml:space="preserve"> </w:t>
            </w:r>
          </w:p>
        </w:tc>
        <w:tc>
          <w:tcPr>
            <w:tcW w:w="1479"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7" w:hRule="atLeast"/>
        </w:trPr>
        <w:tc>
          <w:tcPr>
            <w:tcW w:w="2160" w:type="dxa"/>
            <w:vAlign w:val="top"/>
          </w:tcPr>
          <w:p>
            <w:pPr>
              <w:keepNext w:val="0"/>
              <w:keepLines w:val="0"/>
              <w:pageBreakBefore w:val="0"/>
              <w:widowControl w:val="0"/>
              <w:kinsoku/>
              <w:wordWrap/>
              <w:overflowPunct/>
              <w:topLinePunct w:val="0"/>
              <w:autoSpaceDE/>
              <w:autoSpaceDN/>
              <w:bidi w:val="0"/>
              <w:adjustRightInd/>
              <w:snapToGrid/>
              <w:spacing w:line="336" w:lineRule="auto"/>
              <w:ind w:right="0" w:rightChars="0"/>
              <w:jc w:val="left"/>
              <w:textAlignment w:val="auto"/>
              <w:rPr>
                <w:rFonts w:hint="eastAsia"/>
                <w:color w:val="auto"/>
                <w:lang w:val="en-US" w:eastAsia="zh-CN"/>
              </w:rPr>
            </w:pPr>
            <w:r>
              <w:rPr>
                <w:rFonts w:hint="eastAsia"/>
                <w:color w:val="auto"/>
                <w:lang w:val="en-US" w:eastAsia="zh-CN"/>
              </w:rPr>
              <w:t>组织的岗位、职责和权限</w:t>
            </w:r>
          </w:p>
          <w:p>
            <w:pPr>
              <w:keepNext w:val="0"/>
              <w:keepLines w:val="0"/>
              <w:pageBreakBefore w:val="0"/>
              <w:widowControl w:val="0"/>
              <w:kinsoku/>
              <w:wordWrap/>
              <w:overflowPunct/>
              <w:topLinePunct w:val="0"/>
              <w:autoSpaceDE/>
              <w:autoSpaceDN/>
              <w:bidi w:val="0"/>
              <w:adjustRightInd/>
              <w:snapToGrid/>
              <w:spacing w:line="336" w:lineRule="auto"/>
              <w:ind w:right="0" w:rightChars="0"/>
              <w:jc w:val="left"/>
              <w:textAlignment w:val="auto"/>
              <w:rPr>
                <w:rFonts w:hint="eastAsia"/>
                <w:color w:val="auto"/>
                <w:lang w:val="en-US" w:eastAsia="zh-CN"/>
              </w:rPr>
            </w:pPr>
          </w:p>
        </w:tc>
        <w:tc>
          <w:tcPr>
            <w:tcW w:w="960" w:type="dxa"/>
            <w:vAlign w:val="top"/>
          </w:tcPr>
          <w:p>
            <w:pPr>
              <w:keepNext w:val="0"/>
              <w:keepLines w:val="0"/>
              <w:pageBreakBefore w:val="0"/>
              <w:widowControl w:val="0"/>
              <w:kinsoku/>
              <w:wordWrap/>
              <w:overflowPunct/>
              <w:topLinePunct w:val="0"/>
              <w:autoSpaceDE/>
              <w:autoSpaceDN/>
              <w:bidi w:val="0"/>
              <w:adjustRightInd/>
              <w:snapToGrid/>
              <w:spacing w:line="336" w:lineRule="auto"/>
              <w:ind w:right="0" w:rightChars="0"/>
              <w:jc w:val="left"/>
              <w:textAlignment w:val="auto"/>
              <w:rPr>
                <w:rFonts w:hint="eastAsia"/>
                <w:color w:val="auto"/>
                <w:lang w:val="en-US" w:eastAsia="zh-CN"/>
              </w:rPr>
            </w:pPr>
            <w:r>
              <w:rPr>
                <w:rFonts w:hint="eastAsia"/>
                <w:color w:val="auto"/>
                <w:lang w:val="en-US" w:eastAsia="zh-CN"/>
              </w:rPr>
              <w:t>En</w:t>
            </w:r>
          </w:p>
          <w:p>
            <w:pPr>
              <w:keepNext w:val="0"/>
              <w:keepLines w:val="0"/>
              <w:pageBreakBefore w:val="0"/>
              <w:widowControl w:val="0"/>
              <w:kinsoku/>
              <w:wordWrap/>
              <w:overflowPunct/>
              <w:topLinePunct w:val="0"/>
              <w:autoSpaceDE/>
              <w:autoSpaceDN/>
              <w:bidi w:val="0"/>
              <w:adjustRightInd/>
              <w:snapToGrid/>
              <w:spacing w:line="336" w:lineRule="auto"/>
              <w:ind w:right="0" w:rightChars="0"/>
              <w:jc w:val="left"/>
              <w:textAlignment w:val="auto"/>
              <w:rPr>
                <w:rFonts w:hint="eastAsia"/>
                <w:color w:val="auto"/>
                <w:lang w:val="en-US" w:eastAsia="zh-CN"/>
              </w:rPr>
            </w:pPr>
            <w:r>
              <w:rPr>
                <w:rFonts w:hint="eastAsia"/>
                <w:color w:val="auto"/>
                <w:lang w:val="en-US" w:eastAsia="zh-CN"/>
              </w:rPr>
              <w:t xml:space="preserve">5.3 </w:t>
            </w:r>
          </w:p>
          <w:p>
            <w:pPr>
              <w:keepNext w:val="0"/>
              <w:keepLines w:val="0"/>
              <w:pageBreakBefore w:val="0"/>
              <w:widowControl w:val="0"/>
              <w:kinsoku/>
              <w:wordWrap/>
              <w:overflowPunct/>
              <w:topLinePunct w:val="0"/>
              <w:autoSpaceDE/>
              <w:autoSpaceDN/>
              <w:bidi w:val="0"/>
              <w:adjustRightInd/>
              <w:snapToGrid/>
              <w:spacing w:line="336" w:lineRule="auto"/>
              <w:ind w:right="0" w:rightChars="0"/>
              <w:jc w:val="left"/>
              <w:textAlignment w:val="auto"/>
              <w:rPr>
                <w:rFonts w:hint="eastAsia"/>
                <w:color w:val="auto"/>
                <w:lang w:val="en-US" w:eastAsia="zh-CN"/>
              </w:rPr>
            </w:pPr>
          </w:p>
        </w:tc>
        <w:tc>
          <w:tcPr>
            <w:tcW w:w="10110" w:type="dxa"/>
            <w:vAlign w:val="top"/>
          </w:tcPr>
          <w:p>
            <w:pPr>
              <w:keepNext w:val="0"/>
              <w:keepLines w:val="0"/>
              <w:pageBreakBefore w:val="0"/>
              <w:widowControl w:val="0"/>
              <w:kinsoku/>
              <w:wordWrap/>
              <w:overflowPunct/>
              <w:topLinePunct w:val="0"/>
              <w:autoSpaceDE/>
              <w:autoSpaceDN/>
              <w:bidi w:val="0"/>
              <w:adjustRightInd/>
              <w:snapToGrid/>
              <w:spacing w:line="336" w:lineRule="auto"/>
              <w:ind w:right="0" w:rightChars="0"/>
              <w:jc w:val="left"/>
              <w:textAlignment w:val="auto"/>
              <w:rPr>
                <w:rFonts w:hint="eastAsia"/>
                <w:color w:val="auto"/>
                <w:lang w:val="en-US" w:eastAsia="zh-CN"/>
              </w:rPr>
            </w:pPr>
            <w:r>
              <w:rPr>
                <w:rFonts w:hint="eastAsia"/>
                <w:color w:val="auto"/>
                <w:lang w:val="en-US" w:eastAsia="zh-CN"/>
              </w:rPr>
              <w:t>能源岗位人员和岗位设置：</w:t>
            </w:r>
          </w:p>
          <w:p>
            <w:pPr>
              <w:keepNext w:val="0"/>
              <w:keepLines w:val="0"/>
              <w:pageBreakBefore w:val="0"/>
              <w:widowControl w:val="0"/>
              <w:kinsoku/>
              <w:wordWrap/>
              <w:overflowPunct/>
              <w:topLinePunct w:val="0"/>
              <w:autoSpaceDE/>
              <w:autoSpaceDN/>
              <w:bidi w:val="0"/>
              <w:adjustRightInd/>
              <w:snapToGrid/>
              <w:spacing w:line="336" w:lineRule="auto"/>
              <w:ind w:right="0" w:rightChars="0"/>
              <w:jc w:val="left"/>
              <w:textAlignment w:val="auto"/>
              <w:rPr>
                <w:rFonts w:hint="eastAsia"/>
                <w:color w:val="auto"/>
                <w:lang w:val="en-US" w:eastAsia="zh-CN"/>
              </w:rPr>
            </w:pPr>
            <w:r>
              <w:rPr>
                <w:rFonts w:hint="eastAsia"/>
                <w:color w:val="auto"/>
                <w:lang w:val="en-US" w:eastAsia="zh-CN"/>
              </w:rPr>
              <w:t>部门共6人；</w:t>
            </w:r>
          </w:p>
          <w:p>
            <w:pPr>
              <w:keepNext w:val="0"/>
              <w:keepLines w:val="0"/>
              <w:pageBreakBefore w:val="0"/>
              <w:widowControl w:val="0"/>
              <w:kinsoku/>
              <w:wordWrap/>
              <w:overflowPunct/>
              <w:topLinePunct w:val="0"/>
              <w:autoSpaceDE/>
              <w:autoSpaceDN/>
              <w:bidi w:val="0"/>
              <w:adjustRightInd/>
              <w:snapToGrid/>
              <w:spacing w:line="336" w:lineRule="auto"/>
              <w:ind w:right="0" w:rightChars="0"/>
              <w:jc w:val="left"/>
              <w:textAlignment w:val="auto"/>
              <w:rPr>
                <w:rFonts w:hint="eastAsia"/>
                <w:color w:val="auto"/>
                <w:lang w:val="en-US" w:eastAsia="zh-CN"/>
              </w:rPr>
            </w:pPr>
            <w:r>
              <w:rPr>
                <w:rFonts w:hint="eastAsia"/>
                <w:color w:val="auto"/>
                <w:lang w:val="en-US" w:eastAsia="zh-CN"/>
              </w:rPr>
              <w:t>主要工作内容和职责权限：</w:t>
            </w:r>
          </w:p>
          <w:p>
            <w:pPr>
              <w:keepNext w:val="0"/>
              <w:keepLines w:val="0"/>
              <w:pageBreakBefore w:val="0"/>
              <w:widowControl w:val="0"/>
              <w:kinsoku/>
              <w:wordWrap/>
              <w:overflowPunct/>
              <w:topLinePunct w:val="0"/>
              <w:autoSpaceDE/>
              <w:autoSpaceDN/>
              <w:bidi w:val="0"/>
              <w:adjustRightInd/>
              <w:snapToGrid/>
              <w:spacing w:line="336" w:lineRule="auto"/>
              <w:ind w:right="0" w:rightChars="0"/>
              <w:jc w:val="left"/>
              <w:textAlignment w:val="auto"/>
              <w:rPr>
                <w:rFonts w:hint="eastAsia"/>
                <w:color w:val="auto"/>
                <w:lang w:val="en-US" w:eastAsia="zh-CN"/>
              </w:rPr>
            </w:pPr>
            <w:r>
              <w:rPr>
                <w:rFonts w:hint="eastAsia"/>
                <w:color w:val="auto"/>
                <w:lang w:val="en-US" w:eastAsia="zh-CN"/>
              </w:rPr>
              <w:t>负责能源计划的编制和安排，综合计划的编制，审批各类能源的采购、加工计划等。负责能源运行指标完成情况的统计工作。负责公司各部门做好生产设计的能源控制和对能源过程能力的确认。负责公司确定、提供和维护为达到本公司节能技术的符合性所需要的基础设施和工作环境。负责对公司食堂及其他公共服务设施区域的节能管理，并制定相应的管理办法。</w:t>
            </w:r>
          </w:p>
        </w:tc>
        <w:tc>
          <w:tcPr>
            <w:tcW w:w="1479" w:type="dxa"/>
          </w:tcPr>
          <w:p>
            <w:pPr>
              <w:rPr>
                <w:rFonts w:hint="eastAsia" w:ascii="宋体" w:hAnsi="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rPr>
                <w:rFonts w:ascii="宋体" w:cs="宋体"/>
                <w:color w:val="auto"/>
                <w:sz w:val="24"/>
                <w:szCs w:val="24"/>
              </w:rPr>
            </w:pPr>
            <w:r>
              <w:rPr>
                <w:rFonts w:hint="eastAsia" w:ascii="宋体" w:hAnsi="宋体" w:cs="宋体"/>
                <w:color w:val="auto"/>
                <w:sz w:val="24"/>
                <w:szCs w:val="24"/>
              </w:rPr>
              <w:t>目标，能源指标及其实现的策划</w:t>
            </w:r>
          </w:p>
          <w:p>
            <w:pPr>
              <w:rPr>
                <w:rFonts w:ascii="宋体" w:cs="宋体"/>
                <w:color w:val="auto"/>
                <w:sz w:val="24"/>
                <w:szCs w:val="24"/>
              </w:rPr>
            </w:pPr>
            <w:r>
              <w:rPr>
                <w:rFonts w:ascii="宋体" w:hAnsi="宋体" w:cs="宋体"/>
                <w:color w:val="auto"/>
                <w:sz w:val="24"/>
                <w:szCs w:val="24"/>
              </w:rPr>
              <w:t xml:space="preserve"> </w:t>
            </w:r>
          </w:p>
        </w:tc>
        <w:tc>
          <w:tcPr>
            <w:tcW w:w="960" w:type="dxa"/>
          </w:tcPr>
          <w:p>
            <w:pPr>
              <w:rPr>
                <w:rFonts w:hint="eastAsia" w:asciiTheme="minorEastAsia" w:hAnsiTheme="minorEastAsia" w:eastAsiaTheme="minorEastAsia" w:cstheme="minorEastAsia"/>
                <w:b/>
                <w:bCs/>
                <w:color w:val="auto"/>
                <w:sz w:val="18"/>
                <w:szCs w:val="18"/>
                <w:lang w:val="en-US" w:eastAsia="zh-CN"/>
              </w:rPr>
            </w:pPr>
            <w:r>
              <w:rPr>
                <w:rFonts w:hint="eastAsia" w:asciiTheme="minorEastAsia" w:hAnsiTheme="minorEastAsia" w:eastAsiaTheme="minorEastAsia" w:cstheme="minorEastAsia"/>
                <w:b/>
                <w:bCs/>
                <w:color w:val="auto"/>
                <w:sz w:val="18"/>
                <w:szCs w:val="18"/>
                <w:lang w:val="en-US" w:eastAsia="zh-CN"/>
              </w:rPr>
              <w:t>En</w:t>
            </w:r>
          </w:p>
          <w:p>
            <w:pPr>
              <w:rPr>
                <w:rFonts w:hint="eastAsia" w:ascii="宋体" w:hAnsi="宋体" w:cs="宋体"/>
                <w:color w:val="auto"/>
                <w:sz w:val="24"/>
                <w:szCs w:val="24"/>
              </w:rPr>
            </w:pPr>
            <w:r>
              <w:rPr>
                <w:rFonts w:hint="eastAsia" w:ascii="宋体" w:hAnsi="宋体" w:cs="宋体"/>
                <w:color w:val="auto"/>
                <w:sz w:val="24"/>
                <w:szCs w:val="24"/>
              </w:rPr>
              <w:t xml:space="preserve">6.2 </w:t>
            </w:r>
          </w:p>
          <w:p>
            <w:pPr>
              <w:rPr>
                <w:rFonts w:hint="eastAsia" w:ascii="宋体" w:hAnsi="宋体" w:cs="宋体"/>
                <w:color w:val="auto"/>
                <w:sz w:val="24"/>
                <w:szCs w:val="24"/>
              </w:rPr>
            </w:pPr>
            <w:r>
              <w:rPr>
                <w:rFonts w:hint="eastAsia" w:ascii="宋体" w:hAnsi="宋体" w:cs="宋体"/>
                <w:color w:val="auto"/>
                <w:sz w:val="24"/>
                <w:szCs w:val="24"/>
              </w:rPr>
              <w:t xml:space="preserve"> </w:t>
            </w:r>
          </w:p>
        </w:tc>
        <w:tc>
          <w:tcPr>
            <w:tcW w:w="10110" w:type="dxa"/>
          </w:tcPr>
          <w:p>
            <w:pPr>
              <w:ind w:firstLine="420" w:firstLineChars="200"/>
              <w:rPr>
                <w:rFonts w:hint="eastAsia" w:ascii="宋体" w:hAnsi="宋体" w:eastAsia="宋体" w:cs="宋体"/>
                <w:color w:val="auto"/>
                <w:sz w:val="24"/>
                <w:szCs w:val="24"/>
                <w:lang w:val="en-US" w:eastAsia="zh-CN"/>
              </w:rPr>
            </w:pPr>
            <w:r>
              <w:rPr>
                <w:rFonts w:hint="eastAsia" w:ascii="宋体" w:hAnsi="宋体" w:cs="宋体"/>
                <w:color w:val="auto"/>
                <w:szCs w:val="21"/>
              </w:rPr>
              <w:t>执行《管理手册》及《方针目标管理制度》</w:t>
            </w:r>
          </w:p>
          <w:p>
            <w:pPr>
              <w:pStyle w:val="5"/>
              <w:ind w:left="0" w:leftChars="0" w:firstLine="0" w:firstLineChars="0"/>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能源：</w:t>
            </w:r>
            <w:r>
              <w:rPr>
                <w:rFonts w:hint="eastAsia" w:ascii="宋体" w:hAnsi="宋体" w:eastAsia="宋体" w:cs="宋体"/>
                <w:color w:val="auto"/>
                <w:sz w:val="24"/>
                <w:szCs w:val="24"/>
                <w:lang w:val="en-US" w:eastAsia="zh-CN"/>
              </w:rPr>
              <w:t>编制了文件化的《目标、能源指标及管理方案》；</w:t>
            </w:r>
          </w:p>
          <w:p>
            <w:p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本部门执行公司的能源总目标；</w:t>
            </w:r>
          </w:p>
          <w:p>
            <w:pP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日常办公注意节水节电、节约汽油及其他办公耗材的消耗、避免不必要的浪费；</w:t>
            </w:r>
          </w:p>
          <w:p>
            <w:pPr>
              <w:rPr>
                <w:rFonts w:hint="eastAsia" w:ascii="宋体" w:hAnsi="宋体" w:cs="宋体"/>
                <w:color w:val="auto"/>
                <w:sz w:val="24"/>
                <w:szCs w:val="24"/>
              </w:rPr>
            </w:pPr>
          </w:p>
        </w:tc>
        <w:tc>
          <w:tcPr>
            <w:tcW w:w="1479" w:type="dxa"/>
          </w:tcPr>
          <w:p>
            <w:pPr>
              <w:rPr>
                <w:rFonts w:hint="eastAsia" w:ascii="宋体" w:hAnsi="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6" w:hRule="atLeast"/>
        </w:trPr>
        <w:tc>
          <w:tcPr>
            <w:tcW w:w="2160" w:type="dxa"/>
          </w:tcPr>
          <w:p>
            <w:pPr>
              <w:rPr>
                <w:rFonts w:ascii="宋体" w:cs="宋体"/>
                <w:color w:val="auto"/>
                <w:sz w:val="24"/>
                <w:szCs w:val="24"/>
              </w:rPr>
            </w:pPr>
            <w:r>
              <w:rPr>
                <w:rFonts w:hint="eastAsia" w:ascii="宋体" w:hAnsi="宋体" w:cs="宋体"/>
                <w:color w:val="auto"/>
                <w:sz w:val="24"/>
                <w:szCs w:val="24"/>
              </w:rPr>
              <w:t>运行策划和控制</w:t>
            </w:r>
          </w:p>
        </w:tc>
        <w:tc>
          <w:tcPr>
            <w:tcW w:w="960" w:type="dxa"/>
          </w:tcPr>
          <w:p>
            <w:pPr>
              <w:rPr>
                <w:rFonts w:hint="eastAsia" w:ascii="宋体" w:hAnsi="宋体" w:cs="宋体"/>
                <w:color w:val="auto"/>
                <w:sz w:val="24"/>
                <w:szCs w:val="24"/>
              </w:rPr>
            </w:pPr>
            <w:r>
              <w:rPr>
                <w:rFonts w:hint="eastAsia" w:ascii="宋体" w:hAnsi="宋体" w:cs="宋体"/>
                <w:color w:val="auto"/>
                <w:sz w:val="24"/>
                <w:szCs w:val="24"/>
              </w:rPr>
              <w:t>8.1</w:t>
            </w:r>
          </w:p>
          <w:p>
            <w:pPr>
              <w:rPr>
                <w:rFonts w:hint="eastAsia" w:ascii="宋体" w:hAnsi="宋体" w:cs="宋体"/>
                <w:color w:val="auto"/>
                <w:sz w:val="24"/>
                <w:szCs w:val="24"/>
              </w:rPr>
            </w:pPr>
          </w:p>
        </w:tc>
        <w:tc>
          <w:tcPr>
            <w:tcW w:w="10110" w:type="dxa"/>
            <w:vAlign w:val="top"/>
          </w:tcPr>
          <w:p>
            <w:pPr>
              <w:ind w:firstLine="420" w:firstLineChars="200"/>
              <w:rPr>
                <w:color w:val="auto"/>
              </w:rPr>
            </w:pPr>
            <w:r>
              <w:rPr>
                <w:rFonts w:hint="eastAsia"/>
                <w:color w:val="auto"/>
              </w:rPr>
              <w:t>本部门应执行的运行控制文件包括：</w:t>
            </w:r>
            <w:r>
              <w:rPr>
                <w:rFonts w:hint="eastAsia"/>
                <w:color w:val="auto"/>
                <w:lang w:val="en-US" w:eastAsia="zh-CN"/>
              </w:rPr>
              <w:t>能源</w:t>
            </w:r>
            <w:r>
              <w:rPr>
                <w:rFonts w:hint="eastAsia"/>
                <w:color w:val="auto"/>
                <w:lang w:val="en-GB"/>
              </w:rPr>
              <w:t>管理</w:t>
            </w:r>
            <w:r>
              <w:rPr>
                <w:rFonts w:hint="eastAsia"/>
                <w:color w:val="auto"/>
              </w:rPr>
              <w:t>规定</w:t>
            </w:r>
            <w:r>
              <w:rPr>
                <w:rFonts w:hint="eastAsia"/>
                <w:color w:val="auto"/>
                <w:lang w:val="en-GB"/>
              </w:rPr>
              <w:t>、</w:t>
            </w:r>
            <w:r>
              <w:rPr>
                <w:rFonts w:hint="eastAsia"/>
                <w:color w:val="auto"/>
              </w:rPr>
              <w:t>对相关方施加影响管理规定、节能降耗管理规定、消防安全管理制度、办公室安全管理制度、</w:t>
            </w:r>
            <w:r>
              <w:rPr>
                <w:rFonts w:hint="eastAsia"/>
                <w:color w:val="auto"/>
                <w:lang w:val="en-GB"/>
              </w:rPr>
              <w:t>车辆管理规定、电脑使用管理办法、服务人员工作规范</w:t>
            </w:r>
            <w:r>
              <w:rPr>
                <w:rFonts w:hint="eastAsia"/>
                <w:color w:val="auto"/>
              </w:rPr>
              <w:t>等</w:t>
            </w:r>
          </w:p>
          <w:p>
            <w:pPr>
              <w:rPr>
                <w:color w:val="auto"/>
              </w:rPr>
            </w:pPr>
            <w:r>
              <w:rPr>
                <w:rFonts w:hint="eastAsia"/>
                <w:color w:val="auto"/>
              </w:rPr>
              <w:t>运行控制情况：</w:t>
            </w:r>
          </w:p>
          <w:p>
            <w:pPr>
              <w:numPr>
                <w:ilvl w:val="0"/>
                <w:numId w:val="1"/>
              </w:numPr>
              <w:rPr>
                <w:color w:val="auto"/>
              </w:rPr>
            </w:pPr>
            <w:r>
              <w:rPr>
                <w:rFonts w:hint="eastAsia"/>
                <w:color w:val="auto"/>
              </w:rPr>
              <w:t>办公室区域：</w:t>
            </w:r>
            <w:r>
              <w:rPr>
                <w:rFonts w:hint="eastAsia"/>
                <w:color w:val="auto"/>
                <w:lang w:val="en-US" w:eastAsia="zh-CN"/>
              </w:rPr>
              <w:t>节水，水龙头没有滴水情况，中水擦地、浇水、冲厕所</w:t>
            </w:r>
          </w:p>
          <w:p>
            <w:pPr>
              <w:numPr>
                <w:ilvl w:val="0"/>
                <w:numId w:val="1"/>
              </w:numPr>
              <w:rPr>
                <w:color w:val="auto"/>
              </w:rPr>
            </w:pPr>
            <w:r>
              <w:rPr>
                <w:rFonts w:hint="eastAsia"/>
                <w:color w:val="auto"/>
              </w:rPr>
              <w:t>办公过程注意节约用电</w:t>
            </w:r>
            <w:r>
              <w:rPr>
                <w:rFonts w:hint="eastAsia"/>
                <w:color w:val="auto"/>
                <w:lang w:eastAsia="zh-CN"/>
              </w:rPr>
              <w:t>：</w:t>
            </w:r>
            <w:r>
              <w:rPr>
                <w:rFonts w:hint="eastAsia"/>
                <w:color w:val="auto"/>
              </w:rPr>
              <w:t>做到人走灯灭，电脑长时间不用时关机，下班前要关闭电源，防止触电。</w:t>
            </w:r>
          </w:p>
          <w:p>
            <w:pPr>
              <w:numPr>
                <w:ilvl w:val="0"/>
                <w:numId w:val="0"/>
              </w:numPr>
              <w:spacing w:line="280" w:lineRule="exact"/>
              <w:rPr>
                <w:rFonts w:asciiTheme="minorEastAsia" w:hAnsiTheme="minorEastAsia" w:eastAsiaTheme="minorEastAsia" w:cstheme="minorEastAsia"/>
                <w:color w:val="auto"/>
                <w:szCs w:val="21"/>
              </w:rPr>
            </w:pPr>
            <w:r>
              <w:rPr>
                <w:rFonts w:hint="eastAsia"/>
                <w:color w:val="auto"/>
                <w:lang w:val="en-US" w:eastAsia="zh-CN"/>
              </w:rPr>
              <w:t>3、能源管理：</w:t>
            </w:r>
            <w:r>
              <w:rPr>
                <w:rFonts w:hint="eastAsia" w:asciiTheme="minorEastAsia" w:hAnsiTheme="minorEastAsia" w:eastAsiaTheme="minorEastAsia" w:cstheme="minorEastAsia"/>
                <w:color w:val="auto"/>
                <w:szCs w:val="21"/>
              </w:rPr>
              <w:t>现场采用声控节能灯，未发现有漏水和浪费电能的现象。</w:t>
            </w:r>
          </w:p>
          <w:p>
            <w:pPr>
              <w:keepNext w:val="0"/>
              <w:keepLines w:val="0"/>
              <w:pageBreakBefore w:val="0"/>
              <w:widowControl w:val="0"/>
              <w:kinsoku/>
              <w:wordWrap/>
              <w:overflowPunct/>
              <w:topLinePunct w:val="0"/>
              <w:autoSpaceDE/>
              <w:autoSpaceDN/>
              <w:bidi w:val="0"/>
              <w:adjustRightInd/>
              <w:snapToGrid/>
              <w:spacing w:line="336" w:lineRule="auto"/>
              <w:ind w:right="0" w:rightChars="0"/>
              <w:jc w:val="left"/>
              <w:textAlignment w:val="auto"/>
              <w:rPr>
                <w:rFonts w:hint="eastAsia"/>
                <w:color w:val="auto"/>
                <w:lang w:val="en-US" w:eastAsia="zh-CN"/>
              </w:rPr>
            </w:pPr>
            <w:r>
              <w:rPr>
                <w:rFonts w:hint="eastAsia"/>
                <w:color w:val="auto"/>
                <w:lang w:val="en-US" w:eastAsia="zh-CN"/>
              </w:rPr>
              <w:t>4、抽查2021年,1-6天然气、水、电主要用能设备采购资金运作情况</w:t>
            </w:r>
          </w:p>
          <w:p>
            <w:pPr>
              <w:keepNext w:val="0"/>
              <w:keepLines w:val="0"/>
              <w:pageBreakBefore w:val="0"/>
              <w:widowControl w:val="0"/>
              <w:kinsoku/>
              <w:wordWrap/>
              <w:overflowPunct/>
              <w:topLinePunct w:val="0"/>
              <w:autoSpaceDE/>
              <w:autoSpaceDN/>
              <w:bidi w:val="0"/>
              <w:adjustRightInd/>
              <w:snapToGrid/>
              <w:spacing w:line="336" w:lineRule="auto"/>
              <w:ind w:right="0" w:rightChars="0"/>
              <w:jc w:val="left"/>
              <w:textAlignment w:val="auto"/>
              <w:rPr>
                <w:rFonts w:hint="eastAsia"/>
                <w:color w:val="auto"/>
                <w:lang w:val="en-US" w:eastAsia="zh-CN"/>
              </w:rPr>
            </w:pPr>
            <w:r>
              <w:rPr>
                <w:rFonts w:hint="eastAsia"/>
                <w:color w:val="auto"/>
                <w:lang w:val="en-US" w:eastAsia="zh-CN"/>
              </w:rPr>
              <w:t>采购水量，水费：</w:t>
            </w:r>
            <w:r>
              <w:rPr>
                <w:rFonts w:hint="default"/>
                <w:color w:val="auto"/>
                <w:lang w:val="en-US" w:eastAsia="zh-CN"/>
              </w:rPr>
              <w:t>36530</w:t>
            </w:r>
            <w:r>
              <w:rPr>
                <w:rFonts w:hint="eastAsia"/>
                <w:color w:val="auto"/>
                <w:lang w:val="en-US" w:eastAsia="zh-CN"/>
              </w:rPr>
              <w:t>元；</w:t>
            </w:r>
          </w:p>
          <w:p>
            <w:pPr>
              <w:keepNext w:val="0"/>
              <w:keepLines w:val="0"/>
              <w:pageBreakBefore w:val="0"/>
              <w:widowControl w:val="0"/>
              <w:kinsoku/>
              <w:wordWrap/>
              <w:overflowPunct/>
              <w:topLinePunct w:val="0"/>
              <w:autoSpaceDE/>
              <w:autoSpaceDN/>
              <w:bidi w:val="0"/>
              <w:adjustRightInd/>
              <w:snapToGrid/>
              <w:spacing w:line="336" w:lineRule="auto"/>
              <w:ind w:right="0" w:rightChars="0"/>
              <w:jc w:val="left"/>
              <w:textAlignment w:val="auto"/>
              <w:rPr>
                <w:rFonts w:hint="eastAsia"/>
                <w:color w:val="auto"/>
                <w:lang w:val="en-US" w:eastAsia="zh-CN"/>
              </w:rPr>
            </w:pPr>
            <w:r>
              <w:rPr>
                <w:rFonts w:hint="eastAsia"/>
                <w:color w:val="auto"/>
                <w:lang w:val="en-US" w:eastAsia="zh-CN"/>
              </w:rPr>
              <w:t>采购电量，电费：</w:t>
            </w:r>
            <w:r>
              <w:rPr>
                <w:rFonts w:hint="default"/>
                <w:color w:val="auto"/>
                <w:lang w:val="en-US" w:eastAsia="zh-CN"/>
              </w:rPr>
              <w:t>1092184</w:t>
            </w:r>
            <w:r>
              <w:rPr>
                <w:rFonts w:hint="eastAsia"/>
                <w:color w:val="auto"/>
                <w:lang w:val="en-US" w:eastAsia="zh-CN"/>
              </w:rPr>
              <w:t>元；</w:t>
            </w:r>
          </w:p>
          <w:p>
            <w:pPr>
              <w:keepNext w:val="0"/>
              <w:keepLines w:val="0"/>
              <w:pageBreakBefore w:val="0"/>
              <w:widowControl w:val="0"/>
              <w:kinsoku/>
              <w:wordWrap/>
              <w:overflowPunct/>
              <w:topLinePunct w:val="0"/>
              <w:autoSpaceDE/>
              <w:autoSpaceDN/>
              <w:bidi w:val="0"/>
              <w:adjustRightInd/>
              <w:snapToGrid/>
              <w:spacing w:line="336" w:lineRule="auto"/>
              <w:ind w:right="0" w:rightChars="0"/>
              <w:jc w:val="left"/>
              <w:textAlignment w:val="auto"/>
              <w:rPr>
                <w:rFonts w:hint="eastAsia"/>
                <w:color w:val="auto"/>
                <w:lang w:val="en-US" w:eastAsia="zh-CN"/>
              </w:rPr>
            </w:pPr>
            <w:r>
              <w:rPr>
                <w:rFonts w:hint="eastAsia"/>
                <w:color w:val="auto"/>
                <w:lang w:val="en-US" w:eastAsia="zh-CN"/>
              </w:rPr>
              <w:t>采购电量，</w:t>
            </w:r>
            <w:r>
              <w:rPr>
                <w:rFonts w:hint="default"/>
                <w:color w:val="auto"/>
                <w:lang w:val="en-US" w:eastAsia="zh-CN"/>
              </w:rPr>
              <w:t>天然气：287268</w:t>
            </w:r>
            <w:r>
              <w:rPr>
                <w:rFonts w:hint="eastAsia"/>
                <w:color w:val="auto"/>
                <w:lang w:val="en-US" w:eastAsia="zh-CN"/>
              </w:rPr>
              <w:t>元；</w:t>
            </w:r>
          </w:p>
          <w:p>
            <w:pPr>
              <w:pStyle w:val="9"/>
              <w:rPr>
                <w:rFonts w:hint="eastAsia"/>
                <w:color w:val="auto"/>
                <w:lang w:val="en-US" w:eastAsia="zh-CN"/>
              </w:rPr>
            </w:pPr>
            <w:r>
              <w:rPr>
                <w:rFonts w:hint="eastAsia"/>
                <w:color w:val="auto"/>
                <w:lang w:val="en-US" w:eastAsia="zh-CN"/>
              </w:rPr>
              <w:t>抽查采购付费单： 符合要求</w:t>
            </w:r>
          </w:p>
          <w:p>
            <w:pPr>
              <w:pStyle w:val="9"/>
              <w:rPr>
                <w:rFonts w:hint="eastAsia"/>
                <w:color w:val="auto"/>
                <w:lang w:val="en-US" w:eastAsia="zh-CN"/>
              </w:rPr>
            </w:pPr>
          </w:p>
          <w:p>
            <w:pPr>
              <w:pStyle w:val="9"/>
              <w:rPr>
                <w:rFonts w:hint="default"/>
                <w:color w:val="auto"/>
                <w:lang w:val="en-US" w:eastAsia="zh-CN"/>
              </w:rPr>
            </w:pPr>
            <w:r>
              <w:drawing>
                <wp:inline distT="0" distB="0" distL="114300" distR="114300">
                  <wp:extent cx="6278245" cy="2244725"/>
                  <wp:effectExtent l="0" t="0" r="825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6278245" cy="2244725"/>
                          </a:xfrm>
                          <a:prstGeom prst="rect">
                            <a:avLst/>
                          </a:prstGeom>
                          <a:noFill/>
                          <a:ln>
                            <a:noFill/>
                          </a:ln>
                        </pic:spPr>
                      </pic:pic>
                    </a:graphicData>
                  </a:graphic>
                </wp:inline>
              </w:drawing>
            </w:r>
          </w:p>
          <w:p>
            <w:pPr>
              <w:pStyle w:val="9"/>
              <w:rPr>
                <w:rFonts w:hint="default"/>
                <w:color w:val="auto"/>
                <w:lang w:val="en-US" w:eastAsia="zh-CN"/>
              </w:rPr>
            </w:pPr>
            <w:r>
              <w:drawing>
                <wp:inline distT="0" distB="0" distL="114300" distR="114300">
                  <wp:extent cx="6276340" cy="2760980"/>
                  <wp:effectExtent l="0" t="0" r="1016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6276340" cy="2760980"/>
                          </a:xfrm>
                          <a:prstGeom prst="rect">
                            <a:avLst/>
                          </a:prstGeom>
                          <a:noFill/>
                          <a:ln>
                            <a:noFill/>
                          </a:ln>
                        </pic:spPr>
                      </pic:pic>
                    </a:graphicData>
                  </a:graphic>
                </wp:inline>
              </w:drawing>
            </w:r>
          </w:p>
          <w:p>
            <w:pPr>
              <w:pStyle w:val="9"/>
              <w:rPr>
                <w:rFonts w:hint="default"/>
                <w:color w:val="auto"/>
                <w:lang w:val="en-US" w:eastAsia="zh-CN"/>
              </w:rPr>
            </w:pPr>
          </w:p>
          <w:p>
            <w:pPr>
              <w:pStyle w:val="9"/>
              <w:rPr>
                <w:rFonts w:hint="default"/>
                <w:color w:val="auto"/>
                <w:lang w:val="en-US" w:eastAsia="zh-CN"/>
              </w:rPr>
            </w:pPr>
          </w:p>
          <w:p>
            <w:pPr>
              <w:pStyle w:val="9"/>
              <w:rPr>
                <w:rFonts w:hint="default"/>
                <w:color w:val="auto"/>
                <w:lang w:val="en-US" w:eastAsia="zh-CN"/>
              </w:rPr>
            </w:pPr>
            <w:r>
              <w:drawing>
                <wp:inline distT="0" distB="0" distL="114300" distR="114300">
                  <wp:extent cx="6280785" cy="1812925"/>
                  <wp:effectExtent l="0" t="0" r="5715"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6280785" cy="1812925"/>
                          </a:xfrm>
                          <a:prstGeom prst="rect">
                            <a:avLst/>
                          </a:prstGeom>
                          <a:noFill/>
                          <a:ln>
                            <a:noFill/>
                          </a:ln>
                        </pic:spPr>
                      </pic:pic>
                    </a:graphicData>
                  </a:graphic>
                </wp:inline>
              </w:drawing>
            </w:r>
            <w:bookmarkStart w:id="0" w:name="_GoBack"/>
            <w:bookmarkEnd w:id="0"/>
          </w:p>
        </w:tc>
        <w:tc>
          <w:tcPr>
            <w:tcW w:w="1479" w:type="dxa"/>
          </w:tcPr>
          <w:p>
            <w:pPr>
              <w:rPr>
                <w:rFonts w:hint="eastAsia" w:ascii="宋体" w:hAnsi="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2" w:hRule="atLeast"/>
        </w:trPr>
        <w:tc>
          <w:tcPr>
            <w:tcW w:w="2160" w:type="dxa"/>
            <w:vAlign w:val="top"/>
          </w:tcPr>
          <w:p>
            <w:pPr>
              <w:keepNext w:val="0"/>
              <w:keepLines w:val="0"/>
              <w:pageBreakBefore w:val="0"/>
              <w:widowControl w:val="0"/>
              <w:kinsoku/>
              <w:wordWrap/>
              <w:overflowPunct/>
              <w:topLinePunct w:val="0"/>
              <w:autoSpaceDE/>
              <w:autoSpaceDN/>
              <w:bidi w:val="0"/>
              <w:adjustRightInd/>
              <w:snapToGrid/>
              <w:spacing w:line="336" w:lineRule="auto"/>
              <w:ind w:right="0" w:rightChars="0"/>
              <w:jc w:val="left"/>
              <w:textAlignment w:val="auto"/>
              <w:rPr>
                <w:rFonts w:hint="eastAsia"/>
                <w:lang w:val="en-US" w:eastAsia="zh-CN"/>
              </w:rPr>
            </w:pPr>
            <w:r>
              <w:rPr>
                <w:rFonts w:hint="eastAsia"/>
                <w:lang w:val="en-US" w:eastAsia="zh-CN"/>
              </w:rPr>
              <w:t>不符合和纠正措施</w:t>
            </w:r>
          </w:p>
        </w:tc>
        <w:tc>
          <w:tcPr>
            <w:tcW w:w="960" w:type="dxa"/>
            <w:vAlign w:val="top"/>
          </w:tcPr>
          <w:p>
            <w:pPr>
              <w:keepNext w:val="0"/>
              <w:keepLines w:val="0"/>
              <w:pageBreakBefore w:val="0"/>
              <w:widowControl w:val="0"/>
              <w:kinsoku/>
              <w:wordWrap/>
              <w:overflowPunct/>
              <w:topLinePunct w:val="0"/>
              <w:autoSpaceDE/>
              <w:autoSpaceDN/>
              <w:bidi w:val="0"/>
              <w:adjustRightInd/>
              <w:snapToGrid/>
              <w:spacing w:line="336" w:lineRule="auto"/>
              <w:ind w:right="0" w:rightChars="0"/>
              <w:jc w:val="left"/>
              <w:textAlignment w:val="auto"/>
              <w:rPr>
                <w:rFonts w:hint="eastAsia"/>
                <w:lang w:val="en-US" w:eastAsia="zh-CN"/>
              </w:rPr>
            </w:pPr>
            <w:r>
              <w:rPr>
                <w:rFonts w:hint="eastAsia"/>
                <w:lang w:val="en-US" w:eastAsia="zh-CN"/>
              </w:rPr>
              <w:t>En 10.1</w:t>
            </w:r>
          </w:p>
          <w:p>
            <w:pPr>
              <w:keepNext w:val="0"/>
              <w:keepLines w:val="0"/>
              <w:pageBreakBefore w:val="0"/>
              <w:widowControl w:val="0"/>
              <w:kinsoku/>
              <w:wordWrap/>
              <w:overflowPunct/>
              <w:topLinePunct w:val="0"/>
              <w:autoSpaceDE/>
              <w:autoSpaceDN/>
              <w:bidi w:val="0"/>
              <w:adjustRightInd/>
              <w:snapToGrid/>
              <w:spacing w:line="336" w:lineRule="auto"/>
              <w:ind w:right="0" w:rightChars="0"/>
              <w:jc w:val="left"/>
              <w:textAlignment w:val="auto"/>
              <w:rPr>
                <w:rFonts w:hint="eastAsia"/>
                <w:lang w:val="en-US" w:eastAsia="zh-CN"/>
              </w:rPr>
            </w:pPr>
          </w:p>
        </w:tc>
        <w:tc>
          <w:tcPr>
            <w:tcW w:w="10110" w:type="dxa"/>
            <w:vAlign w:val="top"/>
          </w:tcPr>
          <w:p>
            <w:pPr>
              <w:keepNext w:val="0"/>
              <w:keepLines w:val="0"/>
              <w:pageBreakBefore w:val="0"/>
              <w:widowControl w:val="0"/>
              <w:kinsoku/>
              <w:wordWrap/>
              <w:overflowPunct/>
              <w:topLinePunct w:val="0"/>
              <w:autoSpaceDE/>
              <w:autoSpaceDN/>
              <w:bidi w:val="0"/>
              <w:adjustRightInd/>
              <w:snapToGrid/>
              <w:spacing w:line="336" w:lineRule="auto"/>
              <w:ind w:right="0" w:rightChars="0"/>
              <w:jc w:val="left"/>
              <w:textAlignment w:val="auto"/>
              <w:rPr>
                <w:rFonts w:hint="eastAsia"/>
                <w:lang w:val="en-US" w:eastAsia="zh-CN"/>
              </w:rPr>
            </w:pPr>
            <w:r>
              <w:rPr>
                <w:rFonts w:hint="eastAsia"/>
                <w:lang w:val="en-US" w:eastAsia="zh-CN"/>
              </w:rPr>
              <w:t>编制了《纠正措施和预防措施通知单》包括“不符合采取措施控制并纠正；任何纠正措施的结果、不符合的原因 性质和采取的任何后续措施；确定是否存在或是否可能发生类似的不符合；实施任何所需的措施；评审所采取的任何纠正措施的有效性；必要时，对能源管理体系进行变更改”等内容；</w:t>
            </w:r>
          </w:p>
          <w:p>
            <w:pPr>
              <w:keepNext w:val="0"/>
              <w:keepLines w:val="0"/>
              <w:pageBreakBefore w:val="0"/>
              <w:widowControl w:val="0"/>
              <w:kinsoku/>
              <w:wordWrap/>
              <w:overflowPunct/>
              <w:topLinePunct w:val="0"/>
              <w:autoSpaceDE/>
              <w:autoSpaceDN/>
              <w:bidi w:val="0"/>
              <w:adjustRightInd/>
              <w:snapToGrid/>
              <w:spacing w:line="336" w:lineRule="auto"/>
              <w:ind w:right="0" w:rightChars="0"/>
              <w:jc w:val="left"/>
              <w:textAlignment w:val="auto"/>
              <w:rPr>
                <w:rFonts w:hint="default"/>
                <w:lang w:val="en-US" w:eastAsia="zh-CN"/>
              </w:rPr>
            </w:pPr>
          </w:p>
        </w:tc>
        <w:tc>
          <w:tcPr>
            <w:tcW w:w="1479" w:type="dxa"/>
          </w:tcPr>
          <w:p>
            <w:pPr>
              <w:rPr>
                <w:rFonts w:hint="eastAsia" w:ascii="宋体" w:hAnsi="宋体" w:cs="宋体"/>
                <w:color w:val="auto"/>
                <w:sz w:val="24"/>
                <w:szCs w:val="24"/>
              </w:rPr>
            </w:pPr>
          </w:p>
        </w:tc>
      </w:tr>
    </w:tbl>
    <w:p>
      <w:pPr>
        <w:rPr>
          <w:color w:val="auto"/>
          <w:sz w:val="24"/>
          <w:szCs w:val="24"/>
        </w:rPr>
      </w:pP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FA964C8"/>
    <w:multiLevelType w:val="multilevel"/>
    <w:tmpl w:val="6FA964C8"/>
    <w:lvl w:ilvl="0" w:tentative="0">
      <w:start w:val="1"/>
      <w:numFmt w:val="decimal"/>
      <w:lvlText w:val="%1、"/>
      <w:lvlJc w:val="left"/>
      <w:pPr>
        <w:ind w:left="315" w:hanging="31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A342DF2"/>
    <w:rsid w:val="094D1698"/>
    <w:rsid w:val="10853E24"/>
    <w:rsid w:val="11B77752"/>
    <w:rsid w:val="1CA410A6"/>
    <w:rsid w:val="1D816794"/>
    <w:rsid w:val="1EC71ACE"/>
    <w:rsid w:val="2BFB62C7"/>
    <w:rsid w:val="2EAA3750"/>
    <w:rsid w:val="33A30F50"/>
    <w:rsid w:val="3AF470FC"/>
    <w:rsid w:val="43211DCD"/>
    <w:rsid w:val="45DA36B8"/>
    <w:rsid w:val="4735485E"/>
    <w:rsid w:val="485063B4"/>
    <w:rsid w:val="4A342DF2"/>
    <w:rsid w:val="58232719"/>
    <w:rsid w:val="5C1356FB"/>
    <w:rsid w:val="5EE206E6"/>
    <w:rsid w:val="5F002BD2"/>
    <w:rsid w:val="62A7312F"/>
    <w:rsid w:val="655224DC"/>
    <w:rsid w:val="66F54D1B"/>
    <w:rsid w:val="69CA32C7"/>
    <w:rsid w:val="6DFB7D63"/>
    <w:rsid w:val="7A871133"/>
    <w:rsid w:val="7CC7690E"/>
    <w:rsid w:val="7FB97B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qFormat="1"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99"/>
    <w:rPr>
      <w:sz w:val="24"/>
    </w:rPr>
  </w:style>
  <w:style w:type="paragraph" w:styleId="3">
    <w:name w:val="Body Text Indent"/>
    <w:basedOn w:val="1"/>
    <w:next w:val="4"/>
    <w:unhideWhenUsed/>
    <w:qFormat/>
    <w:uiPriority w:val="0"/>
    <w:pPr>
      <w:spacing w:beforeLines="0" w:after="120" w:afterLines="0"/>
      <w:ind w:left="200" w:leftChars="200"/>
    </w:pPr>
    <w:rPr>
      <w:rFonts w:hint="default"/>
      <w:sz w:val="24"/>
    </w:rPr>
  </w:style>
  <w:style w:type="paragraph" w:styleId="4">
    <w:name w:val="toc 3"/>
    <w:basedOn w:val="1"/>
    <w:next w:val="1"/>
    <w:unhideWhenUsed/>
    <w:qFormat/>
    <w:uiPriority w:val="0"/>
    <w:pPr>
      <w:spacing w:beforeLines="0" w:afterLines="0"/>
      <w:ind w:left="400" w:leftChars="400"/>
    </w:pPr>
    <w:rPr>
      <w:rFonts w:hint="default"/>
      <w:sz w:val="21"/>
    </w:rPr>
  </w:style>
  <w:style w:type="paragraph" w:styleId="5">
    <w:name w:val="Body Text First Indent"/>
    <w:basedOn w:val="2"/>
    <w:semiHidden/>
    <w:unhideWhenUsed/>
    <w:qFormat/>
    <w:uiPriority w:val="99"/>
    <w:pPr>
      <w:autoSpaceDE/>
      <w:autoSpaceDN/>
      <w:spacing w:before="0" w:after="120"/>
      <w:ind w:left="0" w:firstLine="420" w:firstLineChars="100"/>
      <w:jc w:val="both"/>
    </w:pPr>
    <w:rPr>
      <w:rFonts w:ascii="Times New Roman" w:hAnsi="Times New Roman" w:cs="Times New Roman"/>
      <w:kern w:val="2"/>
      <w:sz w:val="21"/>
      <w:szCs w:val="20"/>
      <w:lang w:val="en-US" w:bidi="ar-SA"/>
    </w:rPr>
  </w:style>
  <w:style w:type="paragraph" w:styleId="6">
    <w:name w:val="Body Text First Indent 2"/>
    <w:basedOn w:val="3"/>
    <w:next w:val="1"/>
    <w:unhideWhenUsed/>
    <w:qFormat/>
    <w:uiPriority w:val="0"/>
    <w:pPr>
      <w:autoSpaceDE w:val="0"/>
      <w:autoSpaceDN w:val="0"/>
      <w:adjustRightInd w:val="0"/>
      <w:spacing w:beforeLines="0" w:after="0" w:afterLines="0" w:line="360" w:lineRule="auto"/>
      <w:ind w:left="0" w:firstLine="420" w:firstLineChars="200"/>
      <w:jc w:val="left"/>
    </w:pPr>
    <w:rPr>
      <w:rFonts w:hint="default"/>
      <w:kern w:val="0"/>
      <w:sz w:val="24"/>
    </w:rPr>
  </w:style>
  <w:style w:type="paragraph" w:customStyle="1" w:styleId="9">
    <w:name w:val="表格文字"/>
    <w:basedOn w:val="1"/>
    <w:qFormat/>
    <w:uiPriority w:val="0"/>
    <w:pPr>
      <w:spacing w:before="25" w:after="25"/>
    </w:pPr>
    <w:rPr>
      <w:bCs/>
      <w:spacing w:val="10"/>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2021-05-09T22:16:00Z</dcterms:created>
  <dc:creator>叶子</dc:creator>
  <cp:lastModifiedBy>叶子</cp:lastModifiedBy>
  <dcterms:modified xsi:type="dcterms:W3CDTF">2021-11-15T07:33:02Z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FB58DD3A543F4265B741A3CFFE84564D</vt:lpwstr>
  </property>
</Properties>
</file>