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9" w:type="dxa"/>
            <w:vAlign w:val="center"/>
          </w:tcPr>
          <w:p>
            <w:pP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受审核</w:t>
            </w:r>
            <w:r>
              <w:rPr>
                <w:rFonts w:hint="eastAsia" w:ascii="宋体" w:hAnsi="宋体" w:eastAsia="宋体" w:cs="宋体"/>
                <w:color w:val="auto"/>
                <w:sz w:val="24"/>
                <w:szCs w:val="24"/>
                <w:lang w:val="en-US" w:eastAsia="zh-CN"/>
              </w:rPr>
              <w:t>部门：</w:t>
            </w:r>
            <w:r>
              <w:rPr>
                <w:rFonts w:hint="eastAsia" w:ascii="宋体" w:hAnsi="宋体"/>
                <w:b/>
                <w:bCs/>
                <w:sz w:val="21"/>
                <w:szCs w:val="21"/>
                <w:lang w:val="en-US" w:eastAsia="zh-CN"/>
              </w:rPr>
              <w:t>行政中心</w:t>
            </w:r>
            <w:r>
              <w:rPr>
                <w:rFonts w:hint="eastAsia" w:ascii="宋体" w:hAnsi="宋体" w:eastAsia="宋体" w:cs="宋体"/>
                <w:color w:val="auto"/>
                <w:sz w:val="24"/>
                <w:szCs w:val="24"/>
                <w:lang w:val="en-US" w:eastAsia="zh-CN"/>
              </w:rPr>
              <w:t xml:space="preserve">       主管领导：</w:t>
            </w:r>
            <w:bookmarkStart w:id="0" w:name="联系人"/>
            <w:r>
              <w:rPr>
                <w:sz w:val="21"/>
                <w:szCs w:val="21"/>
              </w:rPr>
              <w:t>胡冬余</w:t>
            </w:r>
            <w:bookmarkEnd w:id="0"/>
            <w:r>
              <w:rPr>
                <w:rFonts w:hint="default"/>
                <w:color w:val="auto"/>
                <w:lang w:val="en-US" w:eastAsia="zh-CN"/>
              </w:rPr>
              <w:t xml:space="preserve"> </w:t>
            </w:r>
            <w:r>
              <w:rPr>
                <w:rFonts w:hint="eastAsia" w:ascii="宋体" w:hAnsi="宋体" w:eastAsia="宋体" w:cs="宋体"/>
                <w:color w:val="auto"/>
                <w:sz w:val="24"/>
                <w:szCs w:val="24"/>
                <w:lang w:val="en-US" w:eastAsia="zh-CN"/>
              </w:rPr>
              <w:t xml:space="preserve">    陪同人员：</w:t>
            </w:r>
            <w:r>
              <w:rPr>
                <w:rFonts w:hint="eastAsia" w:ascii="宋体" w:hAnsi="宋体" w:cs="宋体"/>
                <w:color w:val="auto"/>
                <w:sz w:val="24"/>
                <w:szCs w:val="24"/>
                <w:lang w:val="en-US" w:eastAsia="zh-CN"/>
              </w:rPr>
              <w:t>曹建阳</w:t>
            </w:r>
          </w:p>
        </w:tc>
        <w:tc>
          <w:tcPr>
            <w:tcW w:w="110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李京田</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审核</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cs="宋体"/>
                <w:color w:val="auto"/>
                <w:sz w:val="24"/>
                <w:szCs w:val="24"/>
                <w:lang w:val="en-US" w:eastAsia="zh-CN"/>
              </w:rPr>
              <w:t>11.14</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snapToGrid w:val="0"/>
              <w:spacing w:line="320" w:lineRule="exact"/>
              <w:ind w:left="180" w:hanging="240" w:hangingChars="100"/>
              <w:jc w:val="left"/>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rPr>
              <w:t>审核条款</w:t>
            </w:r>
            <w:r>
              <w:rPr>
                <w:rFonts w:hint="eastAsia" w:ascii="宋体" w:hAnsi="宋体" w:eastAsia="宋体" w:cs="宋体"/>
                <w:color w:val="auto"/>
                <w:sz w:val="24"/>
                <w:szCs w:val="24"/>
                <w:lang w:val="en-US" w:eastAsia="zh-CN"/>
              </w:rPr>
              <w:t>：</w:t>
            </w:r>
          </w:p>
          <w:p>
            <w:pPr>
              <w:pStyle w:val="3"/>
              <w:rPr>
                <w:rFonts w:hint="eastAsia"/>
                <w:lang w:val="en-US" w:eastAsia="zh-CN"/>
              </w:rPr>
            </w:pPr>
            <w:r>
              <w:rPr>
                <w:rFonts w:hint="eastAsia" w:ascii="宋体" w:hAnsi="宋体"/>
                <w:szCs w:val="21"/>
              </w:rPr>
              <w:t>5.3 组织的岗位、职责和权限</w:t>
            </w:r>
            <w:r>
              <w:rPr>
                <w:rFonts w:hint="eastAsia" w:ascii="宋体" w:hAnsi="宋体"/>
                <w:szCs w:val="21"/>
                <w:u w:val="none"/>
              </w:rPr>
              <w:t>、6.2 目标、能源指及其实现的策划、</w:t>
            </w:r>
            <w:r>
              <w:rPr>
                <w:rFonts w:hint="eastAsia" w:ascii="宋体" w:hAnsi="宋体"/>
                <w:szCs w:val="21"/>
                <w:u w:val="none"/>
                <w:lang w:val="en-US" w:eastAsia="zh-CN"/>
              </w:rPr>
              <w:t>7.4沟通交流、</w:t>
            </w:r>
            <w:r>
              <w:rPr>
                <w:rFonts w:hint="eastAsia" w:ascii="宋体" w:hAnsi="宋体"/>
                <w:szCs w:val="21"/>
                <w:u w:val="none"/>
              </w:rPr>
              <w:t>7.5 文件化信息</w:t>
            </w:r>
            <w:r>
              <w:rPr>
                <w:rFonts w:hint="eastAsia" w:ascii="宋体" w:hAnsi="宋体"/>
                <w:szCs w:val="21"/>
              </w:rPr>
              <w:t>、</w:t>
            </w:r>
            <w:r>
              <w:rPr>
                <w:rFonts w:hint="eastAsia" w:ascii="宋体" w:hAnsi="宋体"/>
                <w:szCs w:val="21"/>
                <w:lang w:val="en-US" w:eastAsia="zh-CN"/>
              </w:rPr>
              <w:t>8.1</w:t>
            </w:r>
            <w:r>
              <w:rPr>
                <w:rFonts w:hint="eastAsia" w:ascii="宋体" w:hAnsi="宋体"/>
                <w:szCs w:val="21"/>
              </w:rPr>
              <w:t>运行的策划和控制</w:t>
            </w:r>
            <w:r>
              <w:rPr>
                <w:rFonts w:hint="eastAsia" w:ascii="宋体" w:hAnsi="宋体"/>
                <w:szCs w:val="21"/>
                <w:lang w:eastAsia="zh-CN"/>
              </w:rPr>
              <w:t>、</w:t>
            </w:r>
            <w:r>
              <w:rPr>
                <w:rFonts w:hint="eastAsia" w:ascii="宋体" w:hAnsi="宋体"/>
                <w:szCs w:val="21"/>
                <w:lang w:val="en-US" w:eastAsia="zh-CN"/>
              </w:rPr>
              <w:t>9.1.1能源绩效和能源管理体系的监视、测量、分析和评价（总则）、</w:t>
            </w:r>
            <w:r>
              <w:rPr>
                <w:rFonts w:hint="eastAsia" w:ascii="宋体" w:hAnsi="宋体"/>
                <w:szCs w:val="21"/>
              </w:rPr>
              <w:t>9.1.2 法律法规要求和其他要求的合规性评价、9.2 内部审核、10.1 不符合与纠正措施、10.2 持续改进</w:t>
            </w:r>
          </w:p>
          <w:p>
            <w:pPr>
              <w:rPr>
                <w:rFonts w:hint="eastAsia" w:ascii="Times New Roman" w:hAnsi="Times New Roman" w:eastAsia="宋体" w:cs="Times New Roman"/>
                <w:color w:val="auto"/>
                <w:sz w:val="24"/>
                <w:szCs w:val="24"/>
                <w:lang w:val="en-US" w:eastAsia="zh-CN"/>
              </w:rPr>
            </w:pP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pPr>
              <w:numPr>
                <w:ilvl w:val="0"/>
                <w:numId w:val="0"/>
              </w:numPr>
              <w:rPr>
                <w:rFonts w:hint="eastAsia" w:ascii="宋体" w:hAnsi="宋体" w:eastAsia="宋体" w:cs="宋体"/>
                <w:color w:val="auto"/>
                <w:sz w:val="24"/>
                <w:szCs w:val="24"/>
                <w:lang w:val="en-US" w:eastAsia="zh-CN"/>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rPr>
                <w:rFonts w:hint="eastAsia" w:ascii="宋体" w:hAnsi="宋体" w:eastAsia="宋体" w:cs="宋体"/>
                <w:color w:val="auto"/>
                <w:sz w:val="24"/>
                <w:szCs w:val="24"/>
                <w:lang w:val="en-US" w:eastAsia="zh-CN"/>
              </w:rPr>
            </w:pPr>
          </w:p>
        </w:tc>
        <w:tc>
          <w:tcPr>
            <w:tcW w:w="10489" w:type="dxa"/>
            <w:vAlign w:val="top"/>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询问部门主要负责人：</w:t>
            </w:r>
            <w:r>
              <w:rPr>
                <w:sz w:val="21"/>
                <w:szCs w:val="21"/>
              </w:rPr>
              <w:t>胡冬余</w:t>
            </w:r>
            <w:r>
              <w:rPr>
                <w:rFonts w:hint="default"/>
                <w:color w:val="auto"/>
                <w:lang w:val="en-US" w:eastAsia="zh-CN"/>
              </w:rPr>
              <w:t xml:space="preserve"> </w:t>
            </w:r>
            <w:r>
              <w:rPr>
                <w:rFonts w:hint="eastAsia" w:ascii="宋体" w:hAnsi="宋体" w:eastAsia="宋体" w:cs="宋体"/>
                <w:color w:val="auto"/>
                <w:sz w:val="24"/>
                <w:szCs w:val="24"/>
                <w:lang w:val="en-US" w:eastAsia="zh-CN"/>
              </w:rPr>
              <w:t xml:space="preserve">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主要工作内容和职责权限：</w:t>
            </w:r>
          </w:p>
          <w:p>
            <w:pPr>
              <w:rPr>
                <w:color w:val="auto"/>
                <w:sz w:val="24"/>
                <w:szCs w:val="24"/>
              </w:rPr>
            </w:pPr>
            <w:r>
              <w:rPr>
                <w:rFonts w:hint="eastAsia"/>
                <w:color w:val="auto"/>
                <w:sz w:val="24"/>
                <w:szCs w:val="24"/>
              </w:rPr>
              <w:t>主要负责公司人力资源管理（员工培训）；</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内外部文件管理；</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法律法规的获取、识别与合规性评价；</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管理体系的内审以及不符合项的整改等</w:t>
            </w:r>
          </w:p>
          <w:p>
            <w:pPr>
              <w:rPr>
                <w:color w:val="auto"/>
                <w:sz w:val="24"/>
                <w:szCs w:val="24"/>
              </w:rPr>
            </w:pPr>
            <w:r>
              <w:rPr>
                <w:rFonts w:hint="eastAsia"/>
                <w:color w:val="auto"/>
                <w:sz w:val="24"/>
                <w:szCs w:val="24"/>
              </w:rPr>
              <w:t xml:space="preserve"> </w:t>
            </w:r>
            <w:r>
              <w:rPr>
                <w:color w:val="auto"/>
                <w:sz w:val="24"/>
                <w:szCs w:val="24"/>
              </w:rPr>
              <w:t xml:space="preserve">      </w:t>
            </w:r>
            <w:r>
              <w:rPr>
                <w:rFonts w:hint="eastAsia"/>
                <w:color w:val="auto"/>
                <w:sz w:val="24"/>
                <w:szCs w:val="24"/>
              </w:rPr>
              <w:t>出示有部门能源职责规定及岗位职责规定，内容基本符合要求。</w:t>
            </w:r>
          </w:p>
          <w:p>
            <w:pPr>
              <w:rPr>
                <w:rFonts w:hint="eastAsia" w:ascii="宋体" w:hAnsi="宋体" w:eastAsia="宋体" w:cs="宋体"/>
                <w:color w:val="auto"/>
                <w:sz w:val="24"/>
                <w:szCs w:val="24"/>
                <w:lang w:val="en-US" w:eastAsia="zh-CN"/>
              </w:rPr>
            </w:pP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目标，能源指标及其实现的策划</w:t>
            </w:r>
          </w:p>
          <w:p>
            <w:pPr>
              <w:rPr>
                <w:color w:val="auto"/>
              </w:rPr>
            </w:pPr>
            <w:r>
              <w:rPr>
                <w:rFonts w:hint="eastAsia" w:ascii="宋体" w:hAnsi="宋体" w:cs="宋体"/>
                <w:color w:val="auto"/>
                <w:sz w:val="24"/>
                <w:szCs w:val="24"/>
                <w:lang w:val="en-US" w:eastAsia="zh-CN"/>
              </w:rPr>
              <w:t xml:space="preserve"> </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489" w:type="dxa"/>
            <w:vAlign w:val="top"/>
          </w:tcPr>
          <w:p>
            <w:pPr>
              <w:ind w:firstLine="420" w:firstLineChars="200"/>
              <w:rPr>
                <w:rFonts w:ascii="宋体" w:hAnsi="宋体" w:cs="宋体"/>
                <w:color w:val="auto"/>
                <w:szCs w:val="21"/>
              </w:rPr>
            </w:pPr>
            <w:r>
              <w:rPr>
                <w:rFonts w:hint="eastAsia" w:ascii="宋体" w:hAnsi="宋体" w:cs="宋体"/>
                <w:color w:val="auto"/>
                <w:szCs w:val="21"/>
              </w:rPr>
              <w:t>执行《管理手册》及《方针目标管理制度》</w:t>
            </w:r>
          </w:p>
          <w:p>
            <w:pPr>
              <w:pStyle w:val="2"/>
              <w:ind w:left="0" w:leftChars="0" w:firstLine="0" w:firstLineChars="0"/>
              <w:rPr>
                <w:rFonts w:hint="eastAsia" w:ascii="宋体" w:hAnsi="宋体" w:eastAsia="宋体" w:cs="宋体"/>
                <w:color w:val="auto"/>
                <w:sz w:val="24"/>
                <w:szCs w:val="24"/>
                <w:lang w:val="en-US" w:eastAsia="zh-CN"/>
              </w:rPr>
            </w:pP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能源：</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编制了文件化的《目标、能源指标及管理方案》；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本部门执行公司的能源总目标；</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日常办公注意节水节电、节约汽油及其他办公耗材的消耗、避免不必要的浪费；</w:t>
            </w:r>
          </w:p>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1100" w:type="dxa"/>
            <w:vAlign w:val="top"/>
          </w:tcPr>
          <w:p>
            <w:pPr>
              <w:rPr>
                <w:color w:val="auto"/>
              </w:rPr>
            </w:pPr>
            <w:r>
              <w:rPr>
                <w:rFonts w:hint="eastAsia" w:ascii="宋体" w:hAnsi="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信息交流</w:t>
            </w:r>
          </w:p>
        </w:tc>
        <w:tc>
          <w:tcPr>
            <w:tcW w:w="960" w:type="dxa"/>
            <w:vAlign w:val="top"/>
          </w:tcPr>
          <w:p>
            <w:pP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7.4</w:t>
            </w: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策划编制的程序文件《信息交流控制程序》及管理手册的相关章节规定了企业内、外部沟通和协商的要求，经查阅和交谈符合标准要求。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总经理负责在公司建立畅通的沟通渠道。管理者代表是公司内部和外部信息交流和沟通的负责人。综合</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部是公司内部和外部信息交流和协商的归口</w:t>
            </w:r>
            <w:r>
              <w:rPr>
                <w:rFonts w:hint="eastAsia" w:ascii="宋体" w:hAnsi="宋体" w:cs="宋体"/>
                <w:color w:val="auto"/>
                <w:sz w:val="24"/>
                <w:szCs w:val="24"/>
                <w:lang w:val="en-US" w:eastAsia="zh-CN"/>
              </w:rPr>
              <w:t>行政中心</w:t>
            </w:r>
            <w:r>
              <w:rPr>
                <w:rFonts w:hint="eastAsia" w:ascii="宋体" w:hAnsi="宋体" w:eastAsia="宋体" w:cs="宋体"/>
                <w:color w:val="auto"/>
                <w:sz w:val="24"/>
                <w:szCs w:val="24"/>
                <w:lang w:val="en-US" w:eastAsia="zh-CN"/>
              </w:rPr>
              <w:t>。负责与上级主管部门及周边单位的信息交流；负责与管理体系、法律法规等有关的内部和外部信息交流；负责与采购供方、客户等相关方之间的沟通。各部门收集到有关能源管理及节能方面的信息，包括法律法规等，及时向</w:t>
            </w:r>
            <w:r>
              <w:rPr>
                <w:rFonts w:hint="eastAsia" w:ascii="宋体" w:hAnsi="宋体" w:cs="宋体"/>
                <w:color w:val="auto"/>
                <w:sz w:val="24"/>
                <w:szCs w:val="24"/>
                <w:lang w:val="en-US" w:eastAsia="zh-CN"/>
              </w:rPr>
              <w:t>行政中心</w:t>
            </w:r>
            <w:r>
              <w:rPr>
                <w:rFonts w:hint="eastAsia" w:ascii="宋体" w:hAnsi="宋体" w:eastAsia="宋体" w:cs="宋体"/>
                <w:color w:val="auto"/>
                <w:sz w:val="24"/>
                <w:szCs w:val="24"/>
                <w:lang w:val="en-US" w:eastAsia="zh-CN"/>
              </w:rPr>
              <w:t>反馈。项目部负责顾客要求方面的有关事宜的沟通。</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目前各项沟通都较为及时、顺畅、效果较好。</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形成文件的信息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总则 </w:t>
            </w:r>
          </w:p>
          <w:p>
            <w:pPr>
              <w:rPr>
                <w:rFonts w:hint="eastAsia" w:ascii="宋体" w:hAnsi="宋体" w:eastAsia="宋体" w:cs="宋体"/>
                <w:color w:val="auto"/>
                <w:kern w:val="2"/>
                <w:sz w:val="24"/>
                <w:szCs w:val="24"/>
                <w:lang w:val="en-US" w:eastAsia="zh-CN" w:bidi="ar-SA"/>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7.5 </w:t>
            </w:r>
          </w:p>
          <w:p>
            <w:pPr>
              <w:rPr>
                <w:rFonts w:hint="default" w:ascii="宋体" w:hAnsi="宋体" w:eastAsia="宋体" w:cs="宋体"/>
                <w:color w:val="auto"/>
                <w:kern w:val="2"/>
                <w:sz w:val="24"/>
                <w:szCs w:val="24"/>
                <w:lang w:val="en-US" w:eastAsia="zh-CN" w:bidi="ar-SA"/>
              </w:rPr>
            </w:pP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二级文件：公司编制了程序文件，包括能源标准要求的所有程序。</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三层次文件：制度和作业指导书，外来文件：包括产品国家标准，能源及运行记录，满足公司目前的管理体系运行的需要。体系文件基本能保证有效性和效率的要求。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查管理手册、程序文件等文件，编制：</w:t>
            </w:r>
            <w:r>
              <w:rPr>
                <w:rFonts w:hint="eastAsia" w:ascii="宋体" w:hAnsi="宋体" w:cs="宋体"/>
                <w:color w:val="auto"/>
                <w:sz w:val="24"/>
                <w:szCs w:val="24"/>
                <w:lang w:val="en-US" w:eastAsia="zh-CN"/>
              </w:rPr>
              <w:t>行政中心</w:t>
            </w:r>
            <w:r>
              <w:rPr>
                <w:rFonts w:hint="eastAsia" w:ascii="宋体" w:hAnsi="宋体" w:eastAsia="宋体" w:cs="宋体"/>
                <w:color w:val="auto"/>
                <w:sz w:val="24"/>
                <w:szCs w:val="24"/>
                <w:lang w:val="en-US" w:eastAsia="zh-CN"/>
              </w:rPr>
              <w:t>，批准：总经理，查文件编审批齐全、文件清晰符合文件控制程序基本要求。查</w:t>
            </w:r>
            <w:r>
              <w:rPr>
                <w:rFonts w:hint="eastAsia" w:ascii="宋体" w:hAnsi="宋体" w:cs="宋体"/>
                <w:color w:val="auto"/>
                <w:sz w:val="24"/>
                <w:szCs w:val="24"/>
                <w:lang w:val="en-US" w:eastAsia="zh-CN"/>
              </w:rPr>
              <w:t>行政中心</w:t>
            </w:r>
            <w:r>
              <w:rPr>
                <w:rFonts w:hint="eastAsia" w:ascii="宋体" w:hAnsi="宋体" w:eastAsia="宋体" w:cs="宋体"/>
                <w:color w:val="auto"/>
                <w:sz w:val="24"/>
                <w:szCs w:val="24"/>
                <w:lang w:val="en-US" w:eastAsia="zh-CN"/>
              </w:rPr>
              <w:t>文件，为有效版本。</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管理体系运行有关的国家法律法规、标准等；行业、地方颁布的条例、标准、规范、规程、办法等，查外来文件具体有能源体系标准等，如《中华人民共和国节约能源法》、《企业能源审计技术通则》、《GBT2589《综合能耗计算通则》》、《GBT 15587-2008 工业企业能源管理导则》、《GBT 13234-2009 企业节能量计算方法》等。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查文件发放：综合办下发了能源管理手册、程序文件等文件。</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查文件有标识，检索方便，文件夹存放于文件柜内，防护符合要求。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w:t>
            </w:r>
            <w:r>
              <w:rPr>
                <w:rFonts w:hint="eastAsia" w:ascii="宋体" w:hAnsi="宋体" w:cs="宋体"/>
                <w:color w:val="auto"/>
                <w:sz w:val="24"/>
                <w:szCs w:val="24"/>
                <w:lang w:val="en-US" w:eastAsia="zh-CN"/>
              </w:rPr>
              <w:t>行政中心</w:t>
            </w:r>
            <w:r>
              <w:rPr>
                <w:rFonts w:hint="eastAsia" w:ascii="宋体" w:hAnsi="宋体" w:eastAsia="宋体" w:cs="宋体"/>
                <w:color w:val="auto"/>
                <w:sz w:val="24"/>
                <w:szCs w:val="24"/>
                <w:lang w:val="en-US" w:eastAsia="zh-CN"/>
              </w:rPr>
              <w:t>保存的记录环境情况，归档文件、记录存放于文件柜内，环境干燥、通风，符合文件归档的要求。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w:t>
            </w:r>
            <w:r>
              <w:rPr>
                <w:rFonts w:hint="eastAsia" w:ascii="宋体" w:hAnsi="宋体" w:cs="宋体"/>
                <w:color w:val="auto"/>
                <w:sz w:val="24"/>
                <w:szCs w:val="24"/>
                <w:lang w:val="en-US" w:eastAsia="zh-CN"/>
              </w:rPr>
              <w:t>行政中心</w:t>
            </w:r>
            <w:r>
              <w:rPr>
                <w:rFonts w:hint="eastAsia" w:ascii="宋体" w:hAnsi="宋体" w:eastAsia="宋体" w:cs="宋体"/>
                <w:color w:val="auto"/>
                <w:sz w:val="24"/>
                <w:szCs w:val="24"/>
                <w:lang w:val="en-US" w:eastAsia="zh-CN"/>
              </w:rPr>
              <w:t>已将文件进行了分类，按记录的名称、编号及时间装文件袋进行归档，记录清洁，字迹清晰，检索方便，抽查有内部审核资料、管理评审资料等，均已装订成册。</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文件记录控制基本有效。</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运行策划和控制</w:t>
            </w:r>
          </w:p>
        </w:tc>
        <w:tc>
          <w:tcPr>
            <w:tcW w:w="9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8.1</w:t>
            </w:r>
          </w:p>
        </w:tc>
        <w:tc>
          <w:tcPr>
            <w:tcW w:w="10489" w:type="dxa"/>
            <w:vAlign w:val="top"/>
          </w:tcPr>
          <w:p>
            <w:pPr>
              <w:rPr>
                <w:rFonts w:hint="eastAsia"/>
                <w:color w:val="auto"/>
                <w:lang w:val="en-US" w:eastAsia="zh-CN"/>
              </w:rPr>
            </w:pPr>
            <w:r>
              <w:rPr>
                <w:rFonts w:hint="eastAsia"/>
                <w:color w:val="auto"/>
                <w:lang w:val="en-US" w:eastAsia="zh-CN"/>
              </w:rPr>
              <w:t>编制了《能源管理制度》、《节能降耗管理制度》、《设备管理制度》等；</w:t>
            </w:r>
          </w:p>
          <w:p>
            <w:pPr>
              <w:rPr>
                <w:rFonts w:hint="default"/>
                <w:color w:val="auto"/>
                <w:lang w:val="en-US" w:eastAsia="zh-CN"/>
              </w:rPr>
            </w:pPr>
            <w:r>
              <w:rPr>
                <w:rFonts w:hint="eastAsia"/>
                <w:color w:val="auto"/>
                <w:lang w:val="en-US" w:eastAsia="zh-CN"/>
              </w:rPr>
              <w:t>运行情况：</w:t>
            </w:r>
          </w:p>
          <w:p>
            <w:pPr>
              <w:rPr>
                <w:rFonts w:hint="default"/>
                <w:color w:val="auto"/>
                <w:lang w:val="en-US" w:eastAsia="zh-CN"/>
              </w:rPr>
            </w:pPr>
            <w:r>
              <w:rPr>
                <w:rFonts w:hint="eastAsia"/>
                <w:color w:val="auto"/>
                <w:lang w:val="en-US" w:eastAsia="zh-CN"/>
              </w:rPr>
              <w:t>1节电控制：行政中心</w:t>
            </w:r>
            <w:r>
              <w:rPr>
                <w:rFonts w:hint="default"/>
                <w:color w:val="auto"/>
                <w:lang w:val="en-US" w:eastAsia="zh-CN"/>
              </w:rPr>
              <w:t>全体人员树立节约用电、安全用电意识。在工作需要时开灯，人离</w:t>
            </w:r>
            <w:r>
              <w:rPr>
                <w:rFonts w:hint="eastAsia"/>
                <w:color w:val="auto"/>
                <w:lang w:val="en-US" w:eastAsia="zh-CN"/>
              </w:rPr>
              <w:t>行政中心</w:t>
            </w:r>
            <w:r>
              <w:rPr>
                <w:rFonts w:hint="default"/>
                <w:color w:val="auto"/>
                <w:lang w:val="en-US" w:eastAsia="zh-CN"/>
              </w:rPr>
              <w:t xml:space="preserve">必须随手关灯，光线好的房间，必须关闭照明设备。。走廊、楼道里的灯要随手关闭，办公场所应关闭不必要的夜间照明。  </w:t>
            </w:r>
            <w:r>
              <w:rPr>
                <w:rFonts w:hint="eastAsia"/>
                <w:color w:val="auto"/>
                <w:lang w:val="en-US" w:eastAsia="zh-CN"/>
              </w:rPr>
              <w:t>现场观察符合要求</w:t>
            </w:r>
          </w:p>
          <w:p>
            <w:pPr>
              <w:rPr>
                <w:rFonts w:hint="default"/>
                <w:color w:val="auto"/>
                <w:lang w:val="en-US" w:eastAsia="zh-CN"/>
              </w:rPr>
            </w:pPr>
            <w:r>
              <w:rPr>
                <w:rFonts w:hint="default"/>
                <w:color w:val="auto"/>
                <w:lang w:val="en-US" w:eastAsia="zh-CN"/>
              </w:rPr>
              <w:t xml:space="preserve"> </w:t>
            </w:r>
            <w:r>
              <w:rPr>
                <w:rFonts w:hint="eastAsia"/>
                <w:color w:val="auto"/>
                <w:lang w:val="en-US" w:eastAsia="zh-CN"/>
              </w:rPr>
              <w:t>2</w:t>
            </w:r>
            <w:r>
              <w:rPr>
                <w:rFonts w:hint="default"/>
                <w:color w:val="auto"/>
                <w:lang w:val="en-US" w:eastAsia="zh-CN"/>
              </w:rPr>
              <w:t>尽量少用空调设备，必须使用空调时，按统一规定执行。如发现下班后未关闭空调设备，对部门负责人</w:t>
            </w:r>
            <w:r>
              <w:rPr>
                <w:rFonts w:hint="eastAsia"/>
                <w:color w:val="auto"/>
                <w:lang w:val="en-US" w:eastAsia="zh-CN"/>
              </w:rPr>
              <w:t>进行批评教育，现场观察符合要求</w:t>
            </w:r>
          </w:p>
          <w:p>
            <w:pPr>
              <w:rPr>
                <w:rFonts w:hint="eastAsia"/>
                <w:color w:val="auto"/>
                <w:lang w:val="en-US" w:eastAsia="zh-CN"/>
              </w:rPr>
            </w:pPr>
            <w:r>
              <w:rPr>
                <w:rFonts w:hint="eastAsia"/>
                <w:color w:val="auto"/>
                <w:lang w:val="en-US" w:eastAsia="zh-CN"/>
              </w:rPr>
              <w:t>3</w:t>
            </w:r>
            <w:r>
              <w:rPr>
                <w:rFonts w:hint="default"/>
                <w:color w:val="auto"/>
                <w:lang w:val="en-US" w:eastAsia="zh-CN"/>
              </w:rPr>
              <w:t xml:space="preserve">电脑设备不使用时，要进入低能耗休眠状态，减少待机能耗。工作完后，及时关闭计算机、打印机、传真机等设备，下班后无待机现象。  </w:t>
            </w:r>
            <w:r>
              <w:rPr>
                <w:rFonts w:hint="eastAsia"/>
                <w:color w:val="auto"/>
                <w:lang w:val="en-US" w:eastAsia="zh-CN"/>
              </w:rPr>
              <w:t>现场观察符合要求</w:t>
            </w:r>
          </w:p>
          <w:p>
            <w:pPr>
              <w:rPr>
                <w:rFonts w:hint="default"/>
                <w:color w:val="auto"/>
                <w:lang w:val="en-US" w:eastAsia="zh-CN"/>
              </w:rPr>
            </w:pPr>
            <w:r>
              <w:rPr>
                <w:rFonts w:hint="eastAsia"/>
                <w:color w:val="auto"/>
                <w:lang w:val="en-US" w:eastAsia="zh-CN"/>
              </w:rPr>
              <w:t>4</w:t>
            </w:r>
            <w:r>
              <w:rPr>
                <w:rFonts w:hint="default"/>
                <w:color w:val="auto"/>
                <w:lang w:val="en-US" w:eastAsia="zh-CN"/>
              </w:rPr>
              <w:t>各</w:t>
            </w:r>
            <w:r>
              <w:rPr>
                <w:rFonts w:hint="eastAsia"/>
                <w:color w:val="auto"/>
                <w:lang w:val="en-US" w:eastAsia="zh-CN"/>
              </w:rPr>
              <w:t>行政中心</w:t>
            </w:r>
            <w:r>
              <w:rPr>
                <w:rFonts w:hint="default"/>
                <w:color w:val="auto"/>
                <w:lang w:val="en-US" w:eastAsia="zh-CN"/>
              </w:rPr>
              <w:t>电脑、空调、电扇、饮水机等一切电器设备应在下班时确保关闭</w:t>
            </w:r>
            <w:r>
              <w:rPr>
                <w:rFonts w:hint="eastAsia"/>
                <w:color w:val="auto"/>
                <w:lang w:val="en-US" w:eastAsia="zh-CN"/>
              </w:rPr>
              <w:t>.现场观察，符合要求</w:t>
            </w:r>
          </w:p>
          <w:p>
            <w:pPr>
              <w:rPr>
                <w:rFonts w:hint="eastAsia"/>
                <w:color w:val="auto"/>
                <w:lang w:val="en-US" w:eastAsia="zh-CN"/>
              </w:rPr>
            </w:pPr>
            <w:r>
              <w:rPr>
                <w:rFonts w:hint="eastAsia"/>
                <w:color w:val="auto"/>
                <w:lang w:val="en-US" w:eastAsia="zh-CN"/>
              </w:rPr>
              <w:t>5</w:t>
            </w:r>
            <w:r>
              <w:rPr>
                <w:rFonts w:hint="default"/>
                <w:color w:val="auto"/>
                <w:lang w:val="en-US" w:eastAsia="zh-CN"/>
              </w:rPr>
              <w:t>严禁在</w:t>
            </w:r>
            <w:r>
              <w:rPr>
                <w:rFonts w:hint="eastAsia"/>
                <w:color w:val="auto"/>
                <w:lang w:val="en-US" w:eastAsia="zh-CN"/>
              </w:rPr>
              <w:t>行政中心</w:t>
            </w:r>
            <w:r>
              <w:rPr>
                <w:rFonts w:hint="default"/>
                <w:color w:val="auto"/>
                <w:lang w:val="en-US" w:eastAsia="zh-CN"/>
              </w:rPr>
              <w:t>使用电炉、电暖气、电热水壶等高压负荷电器，不得随意搭接电线设备</w:t>
            </w:r>
            <w:r>
              <w:rPr>
                <w:rFonts w:hint="eastAsia"/>
                <w:color w:val="auto"/>
                <w:lang w:val="en-US" w:eastAsia="zh-CN"/>
              </w:rPr>
              <w:t>.现场观察符合要求</w:t>
            </w:r>
          </w:p>
          <w:p>
            <w:pPr>
              <w:rPr>
                <w:rFonts w:hint="eastAsia"/>
                <w:color w:val="auto"/>
                <w:lang w:val="en-US" w:eastAsia="zh-CN"/>
              </w:rPr>
            </w:pPr>
            <w:r>
              <w:rPr>
                <w:rFonts w:hint="eastAsia"/>
                <w:color w:val="auto"/>
                <w:lang w:val="en-US" w:eastAsia="zh-CN"/>
              </w:rPr>
              <w:t>行政中心区域：节水，水龙头没有滴水情况，中水擦地、浇水、冲厕所</w:t>
            </w:r>
          </w:p>
          <w:p>
            <w:pPr>
              <w:rPr>
                <w:rFonts w:hint="default"/>
                <w:color w:val="auto"/>
                <w:lang w:val="en-US" w:eastAsia="zh-CN"/>
              </w:rPr>
            </w:pPr>
            <w:r>
              <w:rPr>
                <w:rFonts w:hint="eastAsia"/>
                <w:color w:val="auto"/>
                <w:lang w:val="en-US" w:eastAsia="zh-CN"/>
              </w:rPr>
              <w:t>能源管理：现场采用声控节能灯，未发现有漏水和浪费电能的现象。</w:t>
            </w:r>
          </w:p>
          <w:p>
            <w:pPr>
              <w:pStyle w:val="3"/>
              <w:rPr>
                <w:rFonts w:hint="default"/>
                <w:lang w:val="en-US" w:eastAsia="zh-CN"/>
              </w:rPr>
            </w:pPr>
          </w:p>
        </w:tc>
        <w:tc>
          <w:tcPr>
            <w:tcW w:w="1100" w:type="dxa"/>
            <w:vAlign w:val="top"/>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cs="Times New Roman"/>
                <w:color w:val="auto"/>
                <w:lang w:val="en-US" w:eastAsia="zh-CN"/>
              </w:rPr>
            </w:pPr>
            <w:r>
              <w:rPr>
                <w:rFonts w:hint="eastAsia" w:ascii="宋体" w:hAnsi="宋体"/>
                <w:color w:val="auto"/>
                <w:kern w:val="0"/>
                <w:sz w:val="24"/>
              </w:rPr>
              <w:t>能源绩效和能源管理体系的监视、测量、分析和评价</w:t>
            </w:r>
          </w:p>
        </w:tc>
        <w:tc>
          <w:tcPr>
            <w:tcW w:w="960" w:type="dxa"/>
            <w:vAlign w:val="top"/>
          </w:tcPr>
          <w:p>
            <w:pPr>
              <w:spacing w:line="280" w:lineRule="exact"/>
              <w:jc w:val="left"/>
              <w:rPr>
                <w:rFonts w:hint="eastAsia" w:ascii="宋体" w:hAnsi="宋体" w:cs="Arial"/>
                <w:color w:val="auto"/>
                <w:spacing w:val="-6"/>
                <w:szCs w:val="21"/>
                <w:lang w:val="en-US" w:eastAsia="zh-CN"/>
              </w:rPr>
            </w:pPr>
          </w:p>
          <w:p>
            <w:pPr>
              <w:rPr>
                <w:rFonts w:hint="default" w:ascii="Times New Roman" w:hAnsi="Times New Roman" w:cs="Times New Roman"/>
                <w:color w:val="auto"/>
                <w:lang w:val="en-US" w:eastAsia="zh-CN"/>
              </w:rPr>
            </w:pPr>
            <w:r>
              <w:rPr>
                <w:rFonts w:hint="eastAsia" w:ascii="宋体" w:hAnsi="宋体" w:cs="宋体"/>
                <w:color w:val="auto"/>
                <w:szCs w:val="21"/>
                <w:lang w:val="en-US" w:eastAsia="zh-CN"/>
              </w:rPr>
              <w:t>9.1.1</w:t>
            </w:r>
          </w:p>
        </w:tc>
        <w:tc>
          <w:tcPr>
            <w:tcW w:w="10489" w:type="dxa"/>
            <w:vAlign w:val="top"/>
          </w:tcPr>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监视和测量程序》为保证公司</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spacing w:line="280" w:lineRule="exact"/>
              <w:jc w:val="left"/>
              <w:rPr>
                <w:rFonts w:hint="eastAsia" w:ascii="宋体" w:hAnsi="宋体" w:cs="宋体"/>
                <w:color w:val="auto"/>
                <w:szCs w:val="21"/>
              </w:rPr>
            </w:pPr>
            <w:r>
              <w:rPr>
                <w:rFonts w:hint="eastAsia" w:asciiTheme="minorEastAsia" w:hAnsiTheme="minorEastAsia" w:eastAsiaTheme="minorEastAsia" w:cstheme="minorEastAsia"/>
                <w:color w:val="auto"/>
                <w:szCs w:val="21"/>
              </w:rPr>
              <w:t>查阅“</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目标指标完成情况检查表”，体系建立至今共进行的管理目标指标的检查考核工作，均完成目标考核要求。</w:t>
            </w:r>
          </w:p>
          <w:p>
            <w:pPr>
              <w:rPr>
                <w:rFonts w:ascii="宋体" w:cs="宋体"/>
                <w:color w:val="auto"/>
                <w:szCs w:val="21"/>
              </w:rPr>
            </w:pPr>
            <w:r>
              <w:rPr>
                <w:rFonts w:hint="eastAsia" w:ascii="宋体" w:hAnsi="宋体" w:cs="宋体"/>
                <w:b/>
                <w:bCs/>
                <w:color w:val="auto"/>
                <w:szCs w:val="21"/>
                <w:lang w:val="en-US" w:eastAsia="zh-CN"/>
              </w:rPr>
              <w:t>能源</w:t>
            </w:r>
            <w:r>
              <w:rPr>
                <w:rFonts w:ascii="宋体" w:hAnsi="宋体" w:cs="宋体"/>
                <w:b/>
                <w:bCs/>
                <w:color w:val="auto"/>
                <w:szCs w:val="21"/>
              </w:rPr>
              <w:t xml:space="preserve"> </w:t>
            </w:r>
            <w:r>
              <w:rPr>
                <w:rFonts w:hint="eastAsia" w:ascii="宋体" w:hAnsi="宋体" w:cs="宋体"/>
                <w:b/>
                <w:bCs/>
                <w:color w:val="auto"/>
                <w:szCs w:val="21"/>
              </w:rPr>
              <w:t>：</w:t>
            </w:r>
            <w:r>
              <w:rPr>
                <w:rFonts w:hint="eastAsia" w:ascii="宋体" w:hAnsi="宋体" w:cs="宋体"/>
                <w:color w:val="auto"/>
                <w:szCs w:val="21"/>
              </w:rPr>
              <w:t>行动方案在实现目标和能源指标方面的有效性；能源绩效参数</w:t>
            </w:r>
            <w:r>
              <w:rPr>
                <w:rFonts w:ascii="宋体" w:hAnsi="宋体" w:cs="宋体"/>
                <w:color w:val="auto"/>
                <w:szCs w:val="21"/>
              </w:rPr>
              <w:t>EnPI</w:t>
            </w:r>
            <w:r>
              <w:rPr>
                <w:rFonts w:hint="eastAsia" w:ascii="宋体" w:hAnsi="宋体" w:cs="宋体"/>
                <w:color w:val="auto"/>
                <w:szCs w:val="21"/>
              </w:rPr>
              <w:t>（</w:t>
            </w:r>
            <w:r>
              <w:rPr>
                <w:rFonts w:ascii="宋体" w:hAnsi="宋体" w:cs="宋体"/>
                <w:color w:val="auto"/>
                <w:szCs w:val="21"/>
              </w:rPr>
              <w:t>S</w:t>
            </w:r>
            <w:r>
              <w:rPr>
                <w:rFonts w:hint="eastAsia" w:ascii="宋体" w:hAnsi="宋体" w:cs="宋体"/>
                <w:color w:val="auto"/>
                <w:szCs w:val="21"/>
              </w:rPr>
              <w:t>）；主要能源使用（</w:t>
            </w:r>
            <w:r>
              <w:rPr>
                <w:rFonts w:ascii="宋体" w:hAnsi="宋体" w:cs="宋体"/>
                <w:color w:val="auto"/>
                <w:szCs w:val="21"/>
              </w:rPr>
              <w:t>SEUs</w:t>
            </w:r>
            <w:r>
              <w:rPr>
                <w:rFonts w:hint="eastAsia" w:ascii="宋体" w:hAnsi="宋体" w:cs="宋体"/>
                <w:color w:val="auto"/>
                <w:szCs w:val="21"/>
              </w:rPr>
              <w:t>）的运行；实际能耗与预期能耗的对比评价；确定了：每年每月监视测量</w:t>
            </w:r>
            <w:r>
              <w:rPr>
                <w:rFonts w:ascii="宋体" w:hAnsi="宋体" w:cs="宋体"/>
                <w:color w:val="auto"/>
                <w:szCs w:val="21"/>
              </w:rPr>
              <w:t>1</w:t>
            </w:r>
            <w:r>
              <w:rPr>
                <w:rFonts w:hint="eastAsia" w:ascii="宋体" w:hAnsi="宋体" w:cs="宋体"/>
                <w:color w:val="auto"/>
                <w:szCs w:val="21"/>
              </w:rPr>
              <w:t>次并分析和评价监视和测量的结果以评价其能源绩效和能源管理体系的有效性；</w:t>
            </w:r>
          </w:p>
          <w:p>
            <w:pPr>
              <w:rPr>
                <w:rFonts w:hint="eastAsia" w:ascii="Times New Roman" w:hAnsi="Times New Roman" w:cs="Times New Roman"/>
                <w:color w:val="auto"/>
                <w:lang w:val="en-US" w:eastAsia="zh-CN"/>
              </w:rPr>
            </w:pPr>
            <w:r>
              <w:rPr>
                <w:rFonts w:hint="eastAsia" w:ascii="宋体" w:hAnsi="宋体" w:cs="宋体"/>
                <w:color w:val="auto"/>
                <w:sz w:val="21"/>
                <w:szCs w:val="21"/>
              </w:rPr>
              <w:t>提供《日常能源巡查表》（月查）包括“办公用水、电、空调”等设施设备的防止跑冒滴漏检查、有责任确认信息、日期范围</w:t>
            </w:r>
            <w:r>
              <w:rPr>
                <w:rFonts w:ascii="宋体" w:hAnsi="宋体" w:cs="宋体"/>
                <w:color w:val="auto"/>
                <w:sz w:val="21"/>
                <w:szCs w:val="21"/>
              </w:rPr>
              <w:t>202</w:t>
            </w:r>
            <w:r>
              <w:rPr>
                <w:rFonts w:hint="eastAsia" w:ascii="宋体" w:hAnsi="宋体" w:cs="宋体"/>
                <w:color w:val="auto"/>
                <w:sz w:val="21"/>
                <w:szCs w:val="21"/>
                <w:lang w:val="en-US" w:eastAsia="zh-CN"/>
              </w:rPr>
              <w:t>1.1-9</w:t>
            </w:r>
            <w:r>
              <w:rPr>
                <w:rFonts w:hint="eastAsia" w:ascii="宋体" w:hAnsi="宋体" w:cs="宋体"/>
                <w:color w:val="auto"/>
                <w:sz w:val="21"/>
                <w:szCs w:val="21"/>
              </w:rPr>
              <w:t>结果“合格”；</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符合法律要求和其他要求的评价（合规性评价）</w:t>
            </w:r>
          </w:p>
        </w:tc>
        <w:tc>
          <w:tcPr>
            <w:tcW w:w="960"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9.1.2</w:t>
            </w:r>
          </w:p>
        </w:tc>
        <w:tc>
          <w:tcPr>
            <w:tcW w:w="10489" w:type="dxa"/>
            <w:vAlign w:val="top"/>
          </w:tcPr>
          <w:p>
            <w:pPr>
              <w:rPr>
                <w:rFonts w:hint="eastAsia"/>
                <w:lang w:val="en-US" w:eastAsia="zh-CN"/>
              </w:rPr>
            </w:pPr>
            <w:r>
              <w:rPr>
                <w:rFonts w:hint="eastAsia"/>
                <w:lang w:val="en-US" w:eastAsia="zh-CN"/>
              </w:rPr>
              <w:t>编制了《合规性评价报告》查其中内容包含：“法律法规标准和其他要求的获取、法律法规和其他要求的遵守（符合国家能源产业发展政策、公司班组车间成立管理机构及岗位培训、严格执行国家用能设备能效标准、淘汰落后生产工艺装备和产品指导目录、严格执行GB17167相关要求、执行国家行业及地方能源相关标准等）”</w:t>
            </w:r>
          </w:p>
          <w:p>
            <w:pPr>
              <w:rPr>
                <w:rFonts w:hint="eastAsia"/>
                <w:lang w:val="en-US" w:eastAsia="zh-CN"/>
              </w:rPr>
            </w:pPr>
            <w:r>
              <w:rPr>
                <w:rFonts w:hint="eastAsia"/>
                <w:lang w:val="en-US" w:eastAsia="zh-CN"/>
              </w:rPr>
              <w:t>评价结论“公司能源管理基本符合相关法律法规和其他要求”；</w:t>
            </w:r>
          </w:p>
          <w:p>
            <w:pPr>
              <w:rPr>
                <w:rFonts w:hint="eastAsia"/>
                <w:lang w:val="en-US" w:eastAsia="zh-CN"/>
              </w:rPr>
            </w:pPr>
            <w:r>
              <w:rPr>
                <w:rFonts w:hint="eastAsia"/>
                <w:lang w:val="en-US" w:eastAsia="zh-CN"/>
              </w:rPr>
              <w:t>——查内容基本真实、符合识别的法律法规和其他要求的内容；报告有编审批“</w:t>
            </w:r>
            <w:r>
              <w:rPr>
                <w:rFonts w:hint="default"/>
                <w:lang w:val="en-US" w:eastAsia="zh-CN"/>
              </w:rPr>
              <w:t>谭</w:t>
            </w:r>
            <w:r>
              <w:rPr>
                <w:rFonts w:hint="eastAsia"/>
                <w:lang w:val="en-US" w:eastAsia="zh-CN"/>
              </w:rPr>
              <w:t>明</w:t>
            </w:r>
            <w:r>
              <w:rPr>
                <w:rFonts w:hint="default"/>
                <w:lang w:val="en-US" w:eastAsia="zh-CN"/>
              </w:rPr>
              <w:t xml:space="preserve">军 </w:t>
            </w:r>
            <w:r>
              <w:rPr>
                <w:rFonts w:hint="eastAsia"/>
                <w:lang w:val="en-US" w:eastAsia="zh-CN"/>
              </w:rPr>
              <w:t>”；</w:t>
            </w:r>
          </w:p>
          <w:p>
            <w:pPr>
              <w:pStyle w:val="2"/>
              <w:ind w:left="0" w:leftChars="0" w:firstLine="0" w:firstLineChars="0"/>
              <w:rPr>
                <w:rFonts w:hint="default"/>
                <w:lang w:val="en-US" w:eastAsia="zh-CN"/>
              </w:rPr>
            </w:pPr>
            <w:r>
              <w:rPr>
                <w:rFonts w:hint="eastAsia" w:cs="Times New Roman"/>
                <w:color w:val="0000FF"/>
                <w:lang w:val="en-US" w:eastAsia="zh-CN"/>
              </w:rPr>
              <w:t>评价时间：2021.10.6</w:t>
            </w:r>
            <w:bookmarkStart w:id="1" w:name="_GoBack"/>
            <w:bookmarkEnd w:id="1"/>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内部审核</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p>
          <w:p>
            <w:pPr>
              <w:rPr>
                <w:rFonts w:hint="eastAsia" w:ascii="宋体" w:hAnsi="宋体" w:eastAsia="宋体" w:cs="宋体"/>
                <w:color w:val="auto"/>
                <w:sz w:val="24"/>
                <w:szCs w:val="24"/>
                <w:lang w:val="en-US" w:eastAsia="zh-CN"/>
              </w:rPr>
            </w:pPr>
          </w:p>
        </w:tc>
        <w:tc>
          <w:tcPr>
            <w:tcW w:w="10489" w:type="dxa"/>
            <w:vAlign w:val="center"/>
          </w:tcPr>
          <w:p>
            <w:pPr>
              <w:ind w:firstLine="420" w:firstLineChars="200"/>
              <w:rPr>
                <w:color w:val="auto"/>
              </w:rPr>
            </w:pPr>
            <w:r>
              <w:rPr>
                <w:rFonts w:hint="eastAsia"/>
                <w:color w:val="auto"/>
              </w:rPr>
              <w:t>公司制定</w:t>
            </w:r>
            <w:r>
              <w:rPr>
                <w:rFonts w:hint="eastAsia"/>
                <w:color w:val="auto"/>
                <w:szCs w:val="22"/>
              </w:rPr>
              <w:t>《</w:t>
            </w:r>
            <w:r>
              <w:rPr>
                <w:rFonts w:hint="eastAsia"/>
                <w:color w:val="auto"/>
              </w:rPr>
              <w:t>内部审核控制程序》，对内部审核方案策划规定：</w:t>
            </w:r>
          </w:p>
          <w:p>
            <w:pPr>
              <w:rPr>
                <w:color w:val="auto"/>
              </w:rPr>
            </w:pPr>
            <w:r>
              <w:rPr>
                <w:rFonts w:hint="eastAsia"/>
                <w:color w:val="auto"/>
              </w:rPr>
              <w:t>1.频次：内审每年进行一次，两次内部审核的时间间隔不超过12个月。</w:t>
            </w:r>
          </w:p>
          <w:p>
            <w:pPr>
              <w:rPr>
                <w:color w:val="auto"/>
              </w:rPr>
            </w:pPr>
            <w:r>
              <w:rPr>
                <w:rFonts w:hint="eastAsia"/>
                <w:color w:val="auto"/>
              </w:rPr>
              <w:t>2.方法：按部门/过程审核。</w:t>
            </w:r>
          </w:p>
          <w:p>
            <w:pPr>
              <w:rPr>
                <w:color w:val="auto"/>
              </w:rPr>
            </w:pPr>
            <w:r>
              <w:rPr>
                <w:rFonts w:hint="eastAsia"/>
                <w:color w:val="auto"/>
              </w:rPr>
              <w:t>3.职责：体系负责人组织内部审核活动。</w:t>
            </w:r>
          </w:p>
          <w:p>
            <w:pPr>
              <w:rPr>
                <w:color w:val="auto"/>
              </w:rPr>
            </w:pPr>
            <w:r>
              <w:rPr>
                <w:rFonts w:hint="eastAsia"/>
                <w:color w:val="auto"/>
              </w:rPr>
              <w:t>4.策划要求：范围、准则、工作分配等。</w:t>
            </w:r>
          </w:p>
          <w:p>
            <w:pPr>
              <w:rPr>
                <w:color w:val="auto"/>
              </w:rPr>
            </w:pPr>
            <w:r>
              <w:rPr>
                <w:rFonts w:hint="eastAsia"/>
                <w:color w:val="auto"/>
              </w:rPr>
              <w:t>5.报告：体系负责人在内部审核结束及纠正措施完成后应向总经理报告审核结果。</w:t>
            </w:r>
          </w:p>
          <w:p>
            <w:pPr>
              <w:rPr>
                <w:rFonts w:hint="eastAsia"/>
                <w:color w:val="auto"/>
              </w:rPr>
            </w:pPr>
            <w:r>
              <w:rPr>
                <w:rFonts w:hint="eastAsia"/>
                <w:color w:val="auto"/>
              </w:rPr>
              <w:t>6.提供了《</w:t>
            </w:r>
            <w:r>
              <w:rPr>
                <w:rFonts w:hint="eastAsia"/>
                <w:color w:val="auto"/>
                <w:lang w:eastAsia="zh-CN"/>
              </w:rPr>
              <w:t>202</w:t>
            </w:r>
            <w:r>
              <w:rPr>
                <w:rFonts w:hint="eastAsia"/>
                <w:color w:val="auto"/>
                <w:lang w:val="en-US" w:eastAsia="zh-CN"/>
              </w:rPr>
              <w:t>1</w:t>
            </w:r>
            <w:r>
              <w:rPr>
                <w:rFonts w:hint="eastAsia"/>
                <w:color w:val="auto"/>
              </w:rPr>
              <w:t>年内部审核实施计划》，发布了内部管理体系审核通知，计划内容有：目的、范围、审核准则、审核时间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r>
              <w:rPr>
                <w:rFonts w:hint="eastAsia"/>
                <w:color w:val="auto"/>
              </w:rPr>
              <w:t>。编制：</w:t>
            </w:r>
            <w:r>
              <w:rPr>
                <w:rFonts w:hint="eastAsia"/>
                <w:color w:val="auto"/>
                <w:lang w:val="en-US" w:eastAsia="zh-CN"/>
              </w:rPr>
              <w:t>行政中心</w:t>
            </w:r>
            <w:r>
              <w:rPr>
                <w:rFonts w:hint="eastAsia"/>
                <w:color w:val="auto"/>
              </w:rPr>
              <w:t xml:space="preserve">    批准：</w:t>
            </w:r>
            <w:r>
              <w:rPr>
                <w:rFonts w:hint="eastAsia"/>
                <w:lang w:val="en-US" w:eastAsia="zh-CN"/>
              </w:rPr>
              <w:t>蒋迎春</w:t>
            </w:r>
            <w:r>
              <w:rPr>
                <w:rFonts w:hint="eastAsia"/>
                <w:color w:val="auto"/>
              </w:rPr>
              <w:t xml:space="preserve"> ，</w:t>
            </w:r>
          </w:p>
          <w:p>
            <w:pPr>
              <w:pStyle w:val="15"/>
              <w:rPr>
                <w:rFonts w:hint="default" w:eastAsia="宋体"/>
                <w:color w:val="auto"/>
                <w:lang w:val="en-US" w:eastAsia="zh-CN"/>
              </w:rPr>
            </w:pPr>
            <w:r>
              <w:rPr>
                <w:rFonts w:hint="eastAsia"/>
                <w:color w:val="auto"/>
                <w:lang w:val="en-US" w:eastAsia="zh-CN"/>
              </w:rPr>
              <w:t>查阅签到表，未提供签字记录，已沟通，并补充</w:t>
            </w:r>
          </w:p>
          <w:p>
            <w:pPr>
              <w:rPr>
                <w:rFonts w:hint="eastAsia"/>
                <w:color w:val="auto"/>
              </w:rPr>
            </w:pPr>
            <w:r>
              <w:rPr>
                <w:rFonts w:hint="eastAsia"/>
                <w:color w:val="auto"/>
              </w:rPr>
              <w:t>查阅</w:t>
            </w:r>
            <w:r>
              <w:rPr>
                <w:rFonts w:hint="eastAsia"/>
                <w:color w:val="auto"/>
                <w:lang w:eastAsia="zh-CN"/>
              </w:rPr>
              <w:t>2020</w:t>
            </w:r>
            <w:r>
              <w:rPr>
                <w:rFonts w:hint="eastAsia"/>
                <w:color w:val="auto"/>
              </w:rPr>
              <w:t>年度内部审核有关记录</w:t>
            </w:r>
          </w:p>
          <w:p>
            <w:pPr>
              <w:rPr>
                <w:rFonts w:hint="eastAsia" w:ascii="楷体_GB2312" w:hAnsi="宋体" w:eastAsia="楷体_GB2312"/>
                <w:b/>
                <w:color w:val="auto"/>
                <w:sz w:val="24"/>
              </w:rPr>
            </w:pPr>
            <w:r>
              <w:rPr>
                <w:rFonts w:hint="eastAsia"/>
                <w:color w:val="auto"/>
              </w:rPr>
              <w:t>提供了审核组名单</w:t>
            </w:r>
            <w:r>
              <w:rPr>
                <w:rFonts w:hint="eastAsia" w:ascii="Times New Roman" w:hAnsi="Times New Roman" w:eastAsia="宋体" w:cs="Times New Roman"/>
                <w:bCs/>
                <w:color w:val="auto"/>
                <w:spacing w:val="10"/>
                <w:kern w:val="2"/>
                <w:sz w:val="21"/>
                <w:lang w:val="en-US" w:eastAsia="zh-CN" w:bidi="ar-SA"/>
              </w:rPr>
              <w:t>：组长：胡冬余  组员：周士飞</w:t>
            </w:r>
          </w:p>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审核范围：公司领导层、各部门。查</w:t>
            </w:r>
            <w:r>
              <w:rPr>
                <w:rFonts w:hint="eastAsia" w:cs="Times New Roman"/>
                <w:color w:val="auto"/>
                <w:lang w:val="en-US" w:eastAsia="zh-CN"/>
              </w:rPr>
              <w:t>未</w:t>
            </w:r>
            <w:r>
              <w:rPr>
                <w:rFonts w:hint="eastAsia" w:ascii="Times New Roman" w:hAnsi="Times New Roman" w:eastAsia="宋体" w:cs="Times New Roman"/>
                <w:color w:val="auto"/>
              </w:rPr>
              <w:t>全条款覆盖。</w:t>
            </w:r>
            <w:r>
              <w:rPr>
                <w:rFonts w:hint="eastAsia" w:cs="Times New Roman"/>
                <w:color w:val="auto"/>
                <w:lang w:val="en-US" w:eastAsia="zh-CN"/>
              </w:rPr>
              <w:t>无技术部及相应条款的审核，已沟通，并补充，见附件</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3.审核准则：</w:t>
            </w:r>
            <w:r>
              <w:rPr>
                <w:rFonts w:hint="eastAsia" w:ascii="Times New Roman" w:hAnsi="Times New Roman" w:eastAsia="宋体" w:cs="Times New Roman"/>
                <w:color w:val="auto"/>
                <w:lang w:val="en-US" w:eastAsia="zh-CN"/>
              </w:rPr>
              <w:t>GB/T24001-2016;</w:t>
            </w:r>
            <w:r>
              <w:rPr>
                <w:rFonts w:hint="eastAsia" w:ascii="Times New Roman" w:hAnsi="Times New Roman" w:eastAsia="宋体" w:cs="Times New Roman"/>
                <w:color w:val="auto"/>
              </w:rPr>
              <w:t>ISO50001:2018，公司管理体系文件、适用的法律法规、产品标准等。</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4.提供了《内审首次会议签到表》，参加人有各部门负责人等。</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5.提供了《内审检查表》，经查阅对照，受审核部门涉及条款与公司管理体系职责分配相一致。审核记录基本满足要求。</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6.提供了《内审不合格报告》</w:t>
            </w:r>
          </w:p>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提供不符合报告，经过整改不符合已经关闭</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对于涉及不符合项的部门，进行了原因分析并制定纠正措施计划，经过审核组验证，纠正措施有效。</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审核结论：基本符合计划安排和标准的要求，并得到了较有效实施和保持， 仍需进一步改进。    </w:t>
            </w:r>
          </w:p>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审核组长：</w:t>
            </w:r>
            <w:r>
              <w:rPr>
                <w:rFonts w:hint="eastAsia" w:ascii="Times New Roman" w:hAnsi="Times New Roman" w:eastAsia="宋体" w:cs="Times New Roman"/>
                <w:color w:val="auto"/>
                <w:lang w:eastAsia="zh-CN"/>
              </w:rPr>
              <w:t>胡冬余</w:t>
            </w:r>
            <w:r>
              <w:rPr>
                <w:rFonts w:hint="eastAsia" w:ascii="Times New Roman" w:hAnsi="Times New Roman" w:eastAsia="宋体" w:cs="Times New Roman"/>
                <w:color w:val="auto"/>
              </w:rPr>
              <w:t xml:space="preserve"> 批准：</w:t>
            </w:r>
            <w:r>
              <w:rPr>
                <w:rFonts w:hint="eastAsia" w:ascii="Times New Roman" w:hAnsi="Times New Roman" w:eastAsia="宋体" w:cs="Times New Roman"/>
                <w:color w:val="auto"/>
                <w:lang w:val="en-US" w:eastAsia="zh-CN"/>
              </w:rPr>
              <w:t>蒋迎春</w:t>
            </w:r>
          </w:p>
          <w:p>
            <w:pPr>
              <w:ind w:firstLine="420" w:firstLineChars="200"/>
              <w:rPr>
                <w:rFonts w:hint="default" w:ascii="宋体" w:hAnsi="宋体" w:eastAsia="宋体" w:cs="宋体"/>
                <w:color w:val="auto"/>
                <w:sz w:val="24"/>
                <w:szCs w:val="24"/>
                <w:lang w:val="en-US" w:eastAsia="zh-CN"/>
              </w:rPr>
            </w:pPr>
            <w:r>
              <w:rPr>
                <w:rFonts w:hint="eastAsia"/>
                <w:color w:val="auto"/>
              </w:rPr>
              <w:t>提供了内审员培训记录，审核员没有审核自己部门工作，具有独立性。</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不符合和纠正措施</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9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10.1</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10489" w:type="dxa"/>
            <w:vAlign w:val="top"/>
          </w:tcPr>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查内审不符合1项、有不符合项内容描述、原因分析、及纠正措施的实施及验证信息；不符合纠正措施验证有效、不符合关闭；</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公司制定《纠正预防措施控制程序》，规定了纠正措施的来源,明确了对不合格项应进行原因分析,制定纠正措施计划,实施跟踪验证,确保所采取 的纠正措施满足预期要求。</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内审中发现的不符合项已经采取纠正措施，整改完毕且有效。</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通过交谈，基本能清楚纠正和预防措施的控制要求。改进的示例包括纠正、纠正措施、持续改进。</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根据不同过程、不同产品和不同要求，采取不同的方法进行监视、测量和分析。无其他不符合发生。</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公司利用En方针、目标、内审和外审、数据分析、纠正和预防措施以及管理评审，识别任何改进的机会，持续改进质量管理体系的适宜性、充分性和有效性。</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持续改进</w:t>
            </w:r>
          </w:p>
          <w:p>
            <w:pPr>
              <w:pStyle w:val="15"/>
              <w:rPr>
                <w:rFonts w:hint="eastAsia" w:ascii="Times New Roman" w:hAnsi="Times New Roman" w:eastAsia="宋体" w:cs="Times New Roman"/>
                <w:bCs/>
                <w:color w:val="auto"/>
                <w:spacing w:val="10"/>
                <w:kern w:val="2"/>
                <w:sz w:val="21"/>
                <w:lang w:val="en-US" w:eastAsia="zh-CN" w:bidi="ar-SA"/>
              </w:rPr>
            </w:pPr>
            <w:r>
              <w:rPr>
                <w:rFonts w:hint="eastAsia" w:ascii="宋体" w:hAnsi="宋体"/>
                <w:b/>
                <w:color w:val="auto"/>
                <w:sz w:val="18"/>
                <w:szCs w:val="18"/>
              </w:rPr>
              <w:t>不符合和纠正措施</w:t>
            </w:r>
          </w:p>
        </w:tc>
        <w:tc>
          <w:tcPr>
            <w:tcW w:w="960" w:type="dxa"/>
            <w:vAlign w:val="top"/>
          </w:tcPr>
          <w:p>
            <w:pPr>
              <w:spacing w:line="280" w:lineRule="exact"/>
              <w:jc w:val="left"/>
              <w:rPr>
                <w:rFonts w:hint="eastAsia" w:ascii="宋体" w:hAnsi="宋体" w:cs="Arial"/>
                <w:color w:val="auto"/>
                <w:spacing w:val="-6"/>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Times New Roman" w:hAnsi="Times New Roman" w:eastAsia="宋体" w:cs="Times New Roman"/>
                <w:color w:val="auto"/>
                <w:kern w:val="2"/>
                <w:sz w:val="21"/>
                <w:szCs w:val="21"/>
                <w:lang w:val="en-US" w:eastAsia="zh-CN" w:bidi="ar-SA"/>
              </w:rPr>
            </w:pPr>
          </w:p>
        </w:tc>
        <w:tc>
          <w:tcPr>
            <w:tcW w:w="10489"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通过对管理评审的审核、确定了组织的质量管理体系的适宜性、充分性和有效性——基本满足标准的要求，组织的持续改进绩效明显</w:t>
            </w:r>
          </w:p>
          <w:p>
            <w:pPr>
              <w:ind w:firstLine="480" w:firstLineChars="200"/>
              <w:rPr>
                <w:rFonts w:hint="eastAsia" w:ascii="宋体" w:hAnsi="宋体" w:eastAsia="宋体" w:cs="宋体"/>
                <w:b w:val="0"/>
                <w:bCs w:val="0"/>
                <w:color w:val="auto"/>
                <w:sz w:val="24"/>
                <w:szCs w:val="24"/>
                <w:lang w:val="en-US" w:eastAsia="zh-CN"/>
              </w:rPr>
            </w:pPr>
          </w:p>
          <w:p>
            <w:pPr>
              <w:ind w:firstLine="420" w:firstLineChars="200"/>
              <w:rPr>
                <w:color w:val="auto"/>
              </w:rPr>
            </w:pPr>
            <w:r>
              <w:rPr>
                <w:rFonts w:hint="eastAsia"/>
                <w:color w:val="auto"/>
              </w:rPr>
              <w:t>公司制定《纠正预防措施控制程序》，规定了纠正措施的来源,明确了对不合格项应进行原因分析,制定纠正措施计划,实施跟踪验证,确保所采取 的纠正措施满足预期要求。</w:t>
            </w:r>
          </w:p>
          <w:p>
            <w:pPr>
              <w:ind w:firstLine="420" w:firstLineChars="200"/>
              <w:rPr>
                <w:color w:val="auto"/>
              </w:rPr>
            </w:pPr>
            <w:r>
              <w:rPr>
                <w:rFonts w:hint="eastAsia"/>
                <w:color w:val="auto"/>
              </w:rPr>
              <w:t>内审中发现的不符合项已经采取纠正措施，整改完毕且有效。</w:t>
            </w:r>
          </w:p>
          <w:p>
            <w:pPr>
              <w:ind w:firstLine="420" w:firstLineChars="200"/>
              <w:rPr>
                <w:color w:val="auto"/>
              </w:rPr>
            </w:pPr>
            <w:r>
              <w:rPr>
                <w:rFonts w:hint="eastAsia"/>
                <w:color w:val="auto"/>
              </w:rPr>
              <w:t>通过交谈，基本能清楚纠正和预防措施的控制要求。改进的示例包括纠正、纠正措施、持续改进。</w:t>
            </w:r>
          </w:p>
          <w:p>
            <w:pPr>
              <w:rPr>
                <w:color w:val="auto"/>
              </w:rPr>
            </w:pPr>
            <w:r>
              <w:rPr>
                <w:rFonts w:hint="eastAsia"/>
                <w:color w:val="auto"/>
              </w:rPr>
              <w:t>根据不同过程、不同产品和不同要求，采取不同的方法进行监视、测量和分析。无其他不符合发生。</w:t>
            </w:r>
          </w:p>
          <w:p>
            <w:pPr>
              <w:spacing w:line="280" w:lineRule="exact"/>
              <w:jc w:val="left"/>
              <w:rPr>
                <w:color w:val="auto"/>
              </w:rPr>
            </w:pPr>
            <w:r>
              <w:rPr>
                <w:rFonts w:hint="eastAsia"/>
                <w:color w:val="auto"/>
              </w:rPr>
              <w:t>公司利用</w:t>
            </w:r>
            <w:r>
              <w:rPr>
                <w:rFonts w:hint="eastAsia"/>
                <w:color w:val="auto"/>
                <w:lang w:val="en-US" w:eastAsia="zh-CN"/>
              </w:rPr>
              <w:t>En</w:t>
            </w:r>
            <w:r>
              <w:rPr>
                <w:rFonts w:hint="eastAsia"/>
                <w:color w:val="auto"/>
              </w:rPr>
              <w:t>方针、目标、内审和外审、数据分析、纠正和预防措施以及管理评审，识别任何改进的机会，持续改进质量管理体系的适宜性、充分性和有效性。</w:t>
            </w:r>
          </w:p>
          <w:p>
            <w:pPr>
              <w:ind w:firstLine="420" w:firstLineChars="200"/>
              <w:rPr>
                <w:rFonts w:hint="eastAsia" w:ascii="Times New Roman" w:hAnsi="Times New Roman" w:eastAsia="宋体" w:cs="Times New Roman"/>
                <w:color w:val="auto"/>
              </w:rPr>
            </w:pPr>
            <w:r>
              <w:rPr>
                <w:rFonts w:hint="eastAsia"/>
                <w:color w:val="auto"/>
              </w:rPr>
              <w:t>资质</w:t>
            </w:r>
            <w:r>
              <w:rPr>
                <w:rFonts w:hint="eastAsia" w:ascii="Times New Roman" w:hAnsi="Times New Roman" w:eastAsia="宋体" w:cs="Times New Roman"/>
                <w:color w:val="auto"/>
              </w:rPr>
              <w:t>验证  企业提供营业执照,企业资质在范围内(见附件)</w:t>
            </w:r>
          </w:p>
          <w:p>
            <w:pPr>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投诉或事故:无</w:t>
            </w:r>
          </w:p>
          <w:p>
            <w:pPr>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政府主管部门监督抽查情况:</w:t>
            </w:r>
            <w:r>
              <w:rPr>
                <w:rFonts w:hint="eastAsia" w:ascii="Times New Roman" w:hAnsi="Times New Roman" w:eastAsia="宋体" w:cs="Times New Roman"/>
                <w:color w:val="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p>
        </w:tc>
        <w:tc>
          <w:tcPr>
            <w:tcW w:w="1100" w:type="dxa"/>
            <w:vAlign w:val="top"/>
          </w:tcPr>
          <w:p>
            <w:pPr>
              <w:rPr>
                <w:color w:val="auto"/>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9"/>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989"/>
    <w:rsid w:val="042862ED"/>
    <w:rsid w:val="066B79A8"/>
    <w:rsid w:val="07AC18F2"/>
    <w:rsid w:val="0A6A1554"/>
    <w:rsid w:val="0B2F2444"/>
    <w:rsid w:val="0FF44133"/>
    <w:rsid w:val="103A2607"/>
    <w:rsid w:val="10824623"/>
    <w:rsid w:val="10A967B9"/>
    <w:rsid w:val="12265489"/>
    <w:rsid w:val="1291364C"/>
    <w:rsid w:val="12B94D11"/>
    <w:rsid w:val="148168D6"/>
    <w:rsid w:val="16461BF9"/>
    <w:rsid w:val="1768237D"/>
    <w:rsid w:val="17F71F65"/>
    <w:rsid w:val="1B0E253E"/>
    <w:rsid w:val="22516447"/>
    <w:rsid w:val="22F07A84"/>
    <w:rsid w:val="246A3245"/>
    <w:rsid w:val="24F33525"/>
    <w:rsid w:val="24F82A34"/>
    <w:rsid w:val="2573164D"/>
    <w:rsid w:val="28AB754A"/>
    <w:rsid w:val="29801B7A"/>
    <w:rsid w:val="29AD5457"/>
    <w:rsid w:val="2CD9740B"/>
    <w:rsid w:val="2DC36F7A"/>
    <w:rsid w:val="351C2720"/>
    <w:rsid w:val="36797100"/>
    <w:rsid w:val="36D74EBC"/>
    <w:rsid w:val="3B0B118D"/>
    <w:rsid w:val="3C033575"/>
    <w:rsid w:val="3FBE386E"/>
    <w:rsid w:val="403F79C4"/>
    <w:rsid w:val="42483FE4"/>
    <w:rsid w:val="44513AB2"/>
    <w:rsid w:val="45A4501C"/>
    <w:rsid w:val="47EC6D81"/>
    <w:rsid w:val="495D0CC2"/>
    <w:rsid w:val="4B946D42"/>
    <w:rsid w:val="4D4D66CE"/>
    <w:rsid w:val="4EFF2013"/>
    <w:rsid w:val="4F323AB9"/>
    <w:rsid w:val="536212BA"/>
    <w:rsid w:val="536F19B2"/>
    <w:rsid w:val="53FF54C0"/>
    <w:rsid w:val="555F30D1"/>
    <w:rsid w:val="565A330A"/>
    <w:rsid w:val="56EE3107"/>
    <w:rsid w:val="57BA6B5E"/>
    <w:rsid w:val="5C5C3AFC"/>
    <w:rsid w:val="5C7A5750"/>
    <w:rsid w:val="5CFD0918"/>
    <w:rsid w:val="5DA47360"/>
    <w:rsid w:val="5DF52D98"/>
    <w:rsid w:val="5EA95088"/>
    <w:rsid w:val="603F5B71"/>
    <w:rsid w:val="60527450"/>
    <w:rsid w:val="613913A0"/>
    <w:rsid w:val="633E6947"/>
    <w:rsid w:val="63E70002"/>
    <w:rsid w:val="64A74FCF"/>
    <w:rsid w:val="65705F30"/>
    <w:rsid w:val="659C4F52"/>
    <w:rsid w:val="676F3C4A"/>
    <w:rsid w:val="69B25C14"/>
    <w:rsid w:val="6CFD6C0C"/>
    <w:rsid w:val="6D896AE7"/>
    <w:rsid w:val="6EE76570"/>
    <w:rsid w:val="720D6AAF"/>
    <w:rsid w:val="742F48F9"/>
    <w:rsid w:val="79DC538C"/>
    <w:rsid w:val="7D4708C0"/>
    <w:rsid w:val="7DB920E5"/>
    <w:rsid w:val="7EA26C89"/>
    <w:rsid w:val="7EE73F2D"/>
    <w:rsid w:val="7EE93D41"/>
    <w:rsid w:val="7F337A8C"/>
    <w:rsid w:val="7FD21621"/>
    <w:rsid w:val="7FF52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0"/>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lock Text"/>
    <w:basedOn w:val="1"/>
    <w:qFormat/>
    <w:uiPriority w:val="0"/>
    <w:pPr>
      <w:ind w:left="-178" w:leftChars="-85" w:right="1105" w:rightChars="526" w:firstLine="560" w:firstLineChars="200"/>
    </w:pPr>
    <w:rPr>
      <w:rFonts w:eastAsia="仿宋_GB2312"/>
      <w:sz w:val="28"/>
    </w:rPr>
  </w:style>
  <w:style w:type="paragraph" w:styleId="7">
    <w:name w:val="Plain Text"/>
    <w:basedOn w:val="1"/>
    <w:qFormat/>
    <w:uiPriority w:val="0"/>
    <w:rPr>
      <w:rFonts w:ascii="宋体" w:hAnsi="Courier New" w:cs="Courier New"/>
      <w:szCs w:val="21"/>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autoSpaceDE/>
      <w:autoSpaceDN/>
    </w:pPr>
    <w:rPr>
      <w:rFonts w:ascii="Calibri" w:hAnsi="Calibri" w:eastAsia="宋体"/>
      <w:sz w:val="24"/>
      <w:szCs w:val="24"/>
      <w:lang w:val="en-US" w:bidi="ar-SA"/>
    </w:rPr>
  </w:style>
  <w:style w:type="paragraph" w:styleId="12">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92"/>
      <w:ind w:left="980" w:hanging="601"/>
    </w:pPr>
    <w:rPr>
      <w:rFonts w:ascii="宋体" w:hAnsi="宋体" w:eastAsia="宋体" w:cs="宋体"/>
      <w:lang w:val="zh-CN" w:eastAsia="zh-CN" w:bidi="zh-CN"/>
    </w:rPr>
  </w:style>
  <w:style w:type="character" w:customStyle="1" w:styleId="22">
    <w:name w:val="样式 页眉 + 五号 Char"/>
    <w:link w:val="23"/>
    <w:qFormat/>
    <w:uiPriority w:val="0"/>
    <w:rPr>
      <w:rFonts w:ascii="Calibri" w:hAnsi="Calibri"/>
      <w:sz w:val="20"/>
    </w:rPr>
  </w:style>
  <w:style w:type="paragraph" w:customStyle="1" w:styleId="23">
    <w:name w:val="样式 页眉 + 五号"/>
    <w:basedOn w:val="10"/>
    <w:link w:val="22"/>
    <w:qFormat/>
    <w:uiPriority w:val="0"/>
    <w:pPr>
      <w:pBdr>
        <w:bottom w:val="none" w:color="auto" w:sz="0" w:space="0"/>
      </w:pBdr>
    </w:pPr>
    <w:rPr>
      <w:rFonts w:ascii="Calibri" w:hAnsi="Calibri"/>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4554</Words>
  <Characters>4812</Characters>
  <Lines>1</Lines>
  <Paragraphs>1</Paragraphs>
  <TotalTime>3</TotalTime>
  <ScaleCrop>false</ScaleCrop>
  <LinksUpToDate>false</LinksUpToDate>
  <CharactersWithSpaces>4911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2021-11-21T08:08:08Z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24620FE07F824CEF9347841678D27BAF</vt:lpwstr>
  </property>
</Properties>
</file>