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5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研发中心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江建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胡冬余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周涛、张桢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11.15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2" w:type="dxa"/>
            <w:vAlign w:val="center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En:5.3/6.2/8.1/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/9.1.1/10.1 </w:t>
            </w:r>
          </w:p>
        </w:tc>
        <w:tc>
          <w:tcPr>
            <w:tcW w:w="73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研发中心 管理职责：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全面负责公司的新产品设计、开发管理工作；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负责对本部门的环境、职业健康安全的运行控制；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在设计开发时，优先考虑采用节能降耗、新工艺、新方法、新设备的产品；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确保管理体系在本部门得到有效运行；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负责技术文件的控制；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负责审核或审批本部门编制的文件；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负责完成相关程序文件中规定的工作内容。</w:t>
            </w:r>
          </w:p>
        </w:tc>
        <w:tc>
          <w:tcPr>
            <w:tcW w:w="737" w:type="dxa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能源目标\能源指及其实现的策划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En6.2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37" w:type="dxa"/>
            <w:vAlign w:val="top"/>
          </w:tcPr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En8.1</w:t>
            </w:r>
          </w:p>
        </w:tc>
        <w:tc>
          <w:tcPr>
            <w:tcW w:w="108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全体人员树立节约用电、安全用电意识。在工作需要时开灯，人离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必须随手关灯，光线好的房间，必须关闭照明设备。。走廊、楼道里的灯要随手关闭，办公场所应关闭不必要的夜间照明。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综合部区域：节水，水龙头没有滴水情况，中水擦地、浇水、冲厕所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</w:tc>
        <w:tc>
          <w:tcPr>
            <w:tcW w:w="737" w:type="dxa"/>
            <w:vAlign w:val="top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En8.2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公司近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期的设计研发内容主要是服装款式，近期没有能源种类和方式的变更。</w:t>
            </w:r>
          </w:p>
        </w:tc>
        <w:tc>
          <w:tcPr>
            <w:tcW w:w="737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能源绩效和能源管理体系的监视、测量、分析和评价 、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En9.1.1</w:t>
            </w:r>
          </w:p>
        </w:tc>
        <w:tc>
          <w:tcPr>
            <w:tcW w:w="10852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能源统计分析情况：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从2017年、2018年、2019年、2020年、2021年1-9月份的各种能源能耗统计来看，企业的单位产品能耗呈逐步下降之势，企业控制的能耗情况良好。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因此，企业应继续保持这种用能状况，操作设备时按操作规程进行操作，保持这种继续下降的形式。</w:t>
            </w:r>
          </w:p>
        </w:tc>
        <w:tc>
          <w:tcPr>
            <w:tcW w:w="737" w:type="dxa"/>
          </w:tcPr>
          <w:p/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不符合纠正/持续改进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En10.1</w:t>
            </w:r>
          </w:p>
        </w:tc>
        <w:tc>
          <w:tcPr>
            <w:tcW w:w="10852" w:type="dxa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查内审不符合1项、有不符合项内容描述、原因分析、及纠正措施的实施及验证信息；不符合纠正措施验证有效、不符合关闭；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公司制定《纠正预防措施控制程序》，规定了纠正措施的来源,明确了对不合格项应进行原因分析,制定纠正措施计划,实施跟踪验证,确保所采取 的纠正措施满足预期要求。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内审中发现的不符合项已经采取纠正措施，整改完毕且有效。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通过交谈，基本能清楚纠正和预防措施的控制要求。改进的示例包括纠正、纠正措施、持续改进。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根据不同过程、不同产品和不同要求，采取不同的方法进行监视、测量和分析。无其他不符合发生。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公司利用En方针、目标、内审和外审、数据分析、纠正和预防措施以及管理评审，识别任何改进的机会，持续改进质量管理体系的适宜性、充分性和有效性。</w:t>
            </w:r>
          </w:p>
        </w:tc>
        <w:tc>
          <w:tcPr>
            <w:tcW w:w="737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japaneseCounting"/>
      <w:pStyle w:val="18"/>
      <w:suff w:val="nothing"/>
      <w:lvlText w:val="%1、"/>
      <w:lvlJc w:val="left"/>
      <w:pPr>
        <w:ind w:left="0" w:firstLine="0"/>
      </w:pPr>
      <w:rPr>
        <w:rFonts w:ascii="宋体" w:hAnsi="宋体" w:eastAsia="宋体" w:cs="Times New Roman"/>
        <w:b w:val="0"/>
        <w:i w:val="0"/>
        <w:sz w:val="28"/>
        <w:szCs w:val="28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108219C2"/>
    <w:rsid w:val="11E170AC"/>
    <w:rsid w:val="1D5C5E94"/>
    <w:rsid w:val="1E92443A"/>
    <w:rsid w:val="1F303612"/>
    <w:rsid w:val="25726879"/>
    <w:rsid w:val="265042EE"/>
    <w:rsid w:val="29550A82"/>
    <w:rsid w:val="2CC56303"/>
    <w:rsid w:val="37022033"/>
    <w:rsid w:val="3FD87230"/>
    <w:rsid w:val="400168D5"/>
    <w:rsid w:val="49907112"/>
    <w:rsid w:val="4EB06CE3"/>
    <w:rsid w:val="5062731F"/>
    <w:rsid w:val="51B355DC"/>
    <w:rsid w:val="51CB0431"/>
    <w:rsid w:val="56955064"/>
    <w:rsid w:val="58F45158"/>
    <w:rsid w:val="5C2C690F"/>
    <w:rsid w:val="5EA12B9A"/>
    <w:rsid w:val="60A703C5"/>
    <w:rsid w:val="619A01E9"/>
    <w:rsid w:val="66CE0333"/>
    <w:rsid w:val="6A997D30"/>
    <w:rsid w:val="6B317C7C"/>
    <w:rsid w:val="6C3312C7"/>
    <w:rsid w:val="6C852FED"/>
    <w:rsid w:val="72F0497F"/>
    <w:rsid w:val="75532C29"/>
    <w:rsid w:val="77DF039E"/>
    <w:rsid w:val="788C0C63"/>
    <w:rsid w:val="7AEC0F33"/>
    <w:rsid w:val="7B407DF0"/>
    <w:rsid w:val="7CD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g"/>
    <w:basedOn w:val="12"/>
    <w:qFormat/>
    <w:uiPriority w:val="0"/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2021-11-21T08:12:42Z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A2A87B4AA3C04090A0C757B97B7400CA</vt:lpwstr>
  </property>
</Properties>
</file>