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1145-2021-QEO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洪湖市现代基业商品砼有限公司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洪湖市现代基业商品砼有限公司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洪湖市乌林镇茅埠村</w:t>
            </w:r>
            <w:bookmarkEnd w:id="6"/>
          </w:p>
        </w:tc>
        <w:tc>
          <w:tcPr>
            <w:tcW w:w="1242" w:type="dxa"/>
            <w:vMerge w:val="restart"/>
            <w:vAlign w:val="center"/>
          </w:tcPr>
          <w:p>
            <w:r>
              <w:rPr>
                <w:rFonts w:hint="eastAsia"/>
              </w:rPr>
              <w:t>邮编</w:t>
            </w:r>
          </w:p>
        </w:tc>
        <w:tc>
          <w:tcPr>
            <w:tcW w:w="1771" w:type="dxa"/>
          </w:tcPr>
          <w:p>
            <w:bookmarkStart w:id="7" w:name="注册邮编"/>
            <w:r>
              <w:t>433210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洪湖市乌林镇茅埠村</w:t>
            </w:r>
            <w:bookmarkEnd w:id="8"/>
          </w:p>
        </w:tc>
        <w:tc>
          <w:tcPr>
            <w:tcW w:w="1242" w:type="dxa"/>
            <w:vMerge w:val="continue"/>
            <w:vAlign w:val="center"/>
          </w:tcPr>
          <w:p/>
        </w:tc>
        <w:tc>
          <w:tcPr>
            <w:tcW w:w="1771" w:type="dxa"/>
          </w:tcPr>
          <w:p>
            <w:bookmarkStart w:id="9" w:name="办公邮编"/>
            <w:r>
              <w:t>433210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陈金祥</w:t>
            </w:r>
            <w:bookmarkEnd w:id="10"/>
          </w:p>
        </w:tc>
        <w:tc>
          <w:tcPr>
            <w:tcW w:w="1313" w:type="dxa"/>
            <w:vAlign w:val="center"/>
          </w:tcPr>
          <w:p>
            <w:r>
              <w:rPr>
                <w:rFonts w:hint="eastAsia"/>
              </w:rPr>
              <w:t>电话.</w:t>
            </w:r>
          </w:p>
        </w:tc>
        <w:tc>
          <w:tcPr>
            <w:tcW w:w="2180" w:type="dxa"/>
            <w:vAlign w:val="center"/>
          </w:tcPr>
          <w:p>
            <w:bookmarkStart w:id="11" w:name="联系人电话"/>
            <w:r>
              <w:t>18186577358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刘柳</w:t>
            </w:r>
            <w:bookmarkEnd w:id="13"/>
          </w:p>
        </w:tc>
        <w:tc>
          <w:tcPr>
            <w:tcW w:w="1313" w:type="dxa"/>
            <w:vAlign w:val="center"/>
          </w:tcPr>
          <w:p>
            <w:r>
              <w:rPr>
                <w:rFonts w:hint="eastAsia"/>
              </w:rPr>
              <w:t>管理者代表</w:t>
            </w:r>
          </w:p>
        </w:tc>
        <w:tc>
          <w:tcPr>
            <w:tcW w:w="2180" w:type="dxa"/>
          </w:tcPr>
          <w:p>
            <w:bookmarkStart w:id="14" w:name="管理者代表"/>
            <w:r>
              <w:t>陈金祥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受审核组织的班次：□单班</w:t>
            </w:r>
            <w:r>
              <w:rPr>
                <w:rFonts w:hint="eastAsia"/>
                <w:highlight w:val="none"/>
              </w:rPr>
              <w:sym w:font="Wingdings 2" w:char="0052"/>
            </w:r>
            <w:r>
              <w:rPr>
                <w:rFonts w:hint="eastAsia"/>
                <w:highlight w:val="none"/>
              </w:rPr>
              <w:t>双班□三班□其他</w:t>
            </w:r>
          </w:p>
          <w:p>
            <w:pPr>
              <w:rPr>
                <w:highlight w:val="none"/>
              </w:rPr>
            </w:pPr>
            <w:r>
              <w:rPr>
                <w:rFonts w:hint="eastAsia"/>
                <w:highlight w:val="none"/>
                <w:lang w:val="en-US" w:eastAsia="zh-CN"/>
              </w:rPr>
              <w:t>2021年11月8日安排有夜班生产，</w:t>
            </w:r>
            <w:r>
              <w:rPr>
                <w:rFonts w:hint="eastAsia" w:ascii="宋体" w:hAnsi="宋体"/>
                <w:sz w:val="21"/>
                <w:szCs w:val="21"/>
                <w:highlight w:val="none"/>
                <w:lang w:val="en-US" w:eastAsia="zh-CN"/>
              </w:rPr>
              <w:t>06：00-08：00早班现场查看生产管理部（混凝土的生产情况）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ascii="宋体"/>
                <w:color w:val="000000"/>
                <w:szCs w:val="21"/>
                <w:lang w:val="en-US" w:eastAsia="zh-CN"/>
              </w:rPr>
            </w:pPr>
            <w:r>
              <w:rPr>
                <w:rFonts w:hint="eastAsia" w:ascii="宋体"/>
                <w:color w:val="000000"/>
                <w:szCs w:val="21"/>
                <w:lang w:val="en-US" w:eastAsia="zh-CN"/>
              </w:rPr>
              <w:t>混凝土的生产：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r>
              <w:rPr>
                <w:rFonts w:hint="eastAsia" w:ascii="宋体"/>
                <w:color w:val="000000"/>
                <w:szCs w:val="21"/>
                <w:lang w:val="en-US" w:eastAsia="zh-CN"/>
              </w:rPr>
              <w:t>混凝土的销售：顾客要求评审--签订合同--下达生产指令--生产---检测--交付--顾客满意监控--沟通改进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2021年11月06日 下午至2021年11月08日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Q：混凝土的生产及销售</w:t>
            </w:r>
          </w:p>
          <w:p>
            <w:r>
              <w:t>E：混凝土的生产及销售所涉及场所的相关环境管理活动</w:t>
            </w:r>
          </w:p>
          <w:p>
            <w:r>
              <w:t>O：混凝土的生产及销售所涉及场所的相关职业健康安全管理活动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Q：16.02.03</w:t>
            </w:r>
          </w:p>
          <w:p>
            <w:r>
              <w:t>E：16.02.03</w:t>
            </w:r>
          </w:p>
          <w:p>
            <w:r>
              <w:t>O：16.02.03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26"/>
        <w:gridCol w:w="1300"/>
        <w:gridCol w:w="473"/>
        <w:gridCol w:w="2618"/>
        <w:gridCol w:w="26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526" w:type="dxa"/>
            <w:shd w:val="clear" w:color="auto" w:fill="F3F3F3"/>
            <w:tcMar>
              <w:left w:w="57" w:type="dxa"/>
              <w:right w:w="57" w:type="dxa"/>
            </w:tcMar>
          </w:tcPr>
          <w:p>
            <w:r>
              <w:rPr>
                <w:rFonts w:hint="eastAsia"/>
              </w:rPr>
              <w:t>组织名称及注册场所地址</w:t>
            </w:r>
          </w:p>
        </w:tc>
        <w:tc>
          <w:tcPr>
            <w:tcW w:w="1300" w:type="dxa"/>
            <w:shd w:val="clear" w:color="auto" w:fill="F3F3F3"/>
            <w:tcMar>
              <w:left w:w="57" w:type="dxa"/>
              <w:right w:w="57" w:type="dxa"/>
            </w:tcMar>
          </w:tcPr>
          <w:p>
            <w:r>
              <w:rPr>
                <w:rFonts w:hint="eastAsia"/>
              </w:rPr>
              <w:t>经营场所的地址（多现场和临时现场）</w:t>
            </w:r>
          </w:p>
        </w:tc>
        <w:tc>
          <w:tcPr>
            <w:tcW w:w="473" w:type="dxa"/>
            <w:shd w:val="clear" w:color="auto" w:fill="F3F3F3"/>
            <w:tcMar>
              <w:left w:w="57" w:type="dxa"/>
              <w:right w:w="57" w:type="dxa"/>
            </w:tcMar>
          </w:tcPr>
          <w:p>
            <w:r>
              <w:rPr>
                <w:rFonts w:hint="eastAsia"/>
              </w:rPr>
              <w:t>员工人数</w:t>
            </w:r>
          </w:p>
        </w:tc>
        <w:tc>
          <w:tcPr>
            <w:tcW w:w="2618" w:type="dxa"/>
            <w:shd w:val="clear" w:color="auto" w:fill="F3F3F3"/>
            <w:tcMar>
              <w:left w:w="57" w:type="dxa"/>
              <w:right w:w="57" w:type="dxa"/>
            </w:tcMar>
          </w:tcPr>
          <w:p>
            <w:r>
              <w:rPr>
                <w:rFonts w:hint="eastAsia"/>
              </w:rPr>
              <w:t>审核范围（产品和过程）</w:t>
            </w:r>
          </w:p>
          <w:p/>
          <w:p/>
        </w:tc>
        <w:tc>
          <w:tcPr>
            <w:tcW w:w="266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526" w:type="dxa"/>
            <w:vAlign w:val="top"/>
          </w:tcPr>
          <w:p>
            <w:pPr>
              <w:rPr>
                <w:rFonts w:hint="eastAsia"/>
                <w:lang w:val="de-DE" w:eastAsia="ja-JP"/>
              </w:rPr>
            </w:pPr>
            <w:r>
              <w:rPr>
                <w:rFonts w:hint="eastAsia"/>
                <w:lang w:val="de-DE" w:eastAsia="ja-JP"/>
              </w:rPr>
              <w:t>洪湖市现代基业商品砼有限公司</w:t>
            </w:r>
            <w:r>
              <w:rPr>
                <w:rFonts w:hint="eastAsia"/>
                <w:lang w:val="en-US" w:eastAsia="zh-CN"/>
              </w:rPr>
              <w:t>/洪湖市乌林镇茅埠村</w:t>
            </w:r>
          </w:p>
        </w:tc>
        <w:tc>
          <w:tcPr>
            <w:tcW w:w="1300" w:type="dxa"/>
            <w:vAlign w:val="top"/>
          </w:tcPr>
          <w:p>
            <w:pPr>
              <w:rPr>
                <w:rFonts w:hint="eastAsia"/>
                <w:lang w:val="de-DE" w:eastAsia="ja-JP"/>
              </w:rPr>
            </w:pPr>
            <w:r>
              <w:rPr>
                <w:rFonts w:hint="eastAsia"/>
                <w:lang w:val="de-DE" w:eastAsia="ja-JP"/>
              </w:rPr>
              <w:t>洪湖市乌林镇茅埠村</w:t>
            </w:r>
          </w:p>
        </w:tc>
        <w:tc>
          <w:tcPr>
            <w:tcW w:w="473" w:type="dxa"/>
            <w:vAlign w:val="center"/>
          </w:tcPr>
          <w:p>
            <w:pPr>
              <w:rPr>
                <w:rFonts w:hint="default"/>
                <w:lang w:val="en-US" w:eastAsia="ja-JP"/>
              </w:rPr>
            </w:pPr>
            <w:r>
              <w:rPr>
                <w:rFonts w:hint="eastAsia"/>
                <w:lang w:val="en-US" w:eastAsia="zh-CN"/>
              </w:rPr>
              <w:t>56</w:t>
            </w:r>
          </w:p>
        </w:tc>
        <w:tc>
          <w:tcPr>
            <w:tcW w:w="2618" w:type="dxa"/>
            <w:vAlign w:val="center"/>
          </w:tcPr>
          <w:p>
            <w:pPr>
              <w:rPr>
                <w:rFonts w:hint="eastAsia"/>
                <w:lang w:val="en-US" w:eastAsia="ja-JP"/>
              </w:rPr>
            </w:pPr>
            <w:r>
              <w:rPr>
                <w:rFonts w:hint="eastAsia"/>
                <w:lang w:val="en-US" w:eastAsia="ja-JP"/>
              </w:rPr>
              <w:t>Q：混凝土的生产及销售</w:t>
            </w:r>
          </w:p>
          <w:p>
            <w:pPr>
              <w:rPr>
                <w:rFonts w:hint="eastAsia"/>
                <w:lang w:val="en-US" w:eastAsia="ja-JP"/>
              </w:rPr>
            </w:pPr>
            <w:r>
              <w:rPr>
                <w:rFonts w:hint="eastAsia"/>
                <w:lang w:val="en-US" w:eastAsia="ja-JP"/>
              </w:rPr>
              <w:t>E：混凝土的生产及销售所涉及场所的相关环境管理活动</w:t>
            </w:r>
          </w:p>
          <w:p>
            <w:pPr>
              <w:rPr>
                <w:rFonts w:hint="eastAsia"/>
                <w:lang w:val="en-US" w:eastAsia="ja-JP"/>
              </w:rPr>
            </w:pPr>
            <w:r>
              <w:rPr>
                <w:rFonts w:hint="eastAsia"/>
                <w:lang w:val="en-US" w:eastAsia="ja-JP"/>
              </w:rPr>
              <w:t>O：混凝土的生产及销售所涉及场所的相关职业健康安全管理活动</w:t>
            </w:r>
          </w:p>
        </w:tc>
        <w:tc>
          <w:tcPr>
            <w:tcW w:w="2660" w:type="dxa"/>
            <w:vAlign w:val="center"/>
          </w:tcPr>
          <w:p>
            <w:pPr>
              <w:spacing w:before="40" w:after="40"/>
              <w:jc w:val="left"/>
              <w:rPr>
                <w:rFonts w:hint="eastAsia" w:eastAsia="黑体"/>
                <w:szCs w:val="21"/>
                <w:lang w:eastAsia="ja-JP"/>
              </w:rPr>
            </w:pPr>
            <w:r>
              <w:rPr>
                <w:rFonts w:hint="eastAsia" w:eastAsia="黑体"/>
                <w:szCs w:val="21"/>
                <w:lang w:eastAsia="ja-JP"/>
              </w:rPr>
              <w:t xml:space="preserve">■GB/T19001-2016/ISO 9001:2015    </w:t>
            </w:r>
          </w:p>
          <w:p>
            <w:pPr>
              <w:spacing w:before="40" w:after="40"/>
              <w:jc w:val="left"/>
              <w:rPr>
                <w:rFonts w:hint="eastAsia" w:eastAsia="黑体"/>
                <w:szCs w:val="21"/>
                <w:lang w:eastAsia="ja-JP"/>
              </w:rPr>
            </w:pPr>
            <w:r>
              <w:rPr>
                <w:rFonts w:hint="eastAsia" w:eastAsia="黑体"/>
                <w:szCs w:val="21"/>
                <w:lang w:eastAsia="ja-JP"/>
              </w:rPr>
              <w:t xml:space="preserve">■GB/T24001-2016/ISO 14001:2015 </w:t>
            </w:r>
          </w:p>
          <w:p>
            <w:pPr>
              <w:spacing w:before="40" w:after="40"/>
              <w:jc w:val="left"/>
              <w:rPr>
                <w:rFonts w:ascii="Times New Roman" w:hAnsi="Times New Roman" w:eastAsia="黑体" w:cs="Times New Roman"/>
                <w:kern w:val="2"/>
                <w:sz w:val="21"/>
                <w:szCs w:val="21"/>
                <w:lang w:val="en-US" w:eastAsia="ja-JP" w:bidi="ar-SA"/>
              </w:rPr>
            </w:pPr>
            <w:r>
              <w:rPr>
                <w:rFonts w:hint="eastAsia" w:eastAsia="黑体"/>
                <w:szCs w:val="21"/>
                <w:lang w:eastAsia="ja-JP"/>
              </w:rPr>
              <w:t>■GB/T 45001-2020/ISO45001：2018</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526" w:type="dxa"/>
            <w:vAlign w:val="center"/>
          </w:tcPr>
          <w:p>
            <w:pPr>
              <w:rPr>
                <w:lang w:eastAsia="ja-JP"/>
              </w:rPr>
            </w:pPr>
          </w:p>
        </w:tc>
        <w:tc>
          <w:tcPr>
            <w:tcW w:w="1300" w:type="dxa"/>
            <w:vAlign w:val="center"/>
          </w:tcPr>
          <w:p>
            <w:pPr>
              <w:rPr>
                <w:lang w:eastAsia="ja-JP"/>
              </w:rPr>
            </w:pPr>
          </w:p>
        </w:tc>
        <w:tc>
          <w:tcPr>
            <w:tcW w:w="473" w:type="dxa"/>
            <w:vAlign w:val="center"/>
          </w:tcPr>
          <w:p>
            <w:pPr>
              <w:rPr>
                <w:lang w:eastAsia="ja-JP"/>
              </w:rPr>
            </w:pPr>
          </w:p>
        </w:tc>
        <w:tc>
          <w:tcPr>
            <w:tcW w:w="2618" w:type="dxa"/>
            <w:vAlign w:val="center"/>
          </w:tcPr>
          <w:p>
            <w:pPr>
              <w:rPr>
                <w:lang w:eastAsia="ja-JP"/>
              </w:rPr>
            </w:pPr>
          </w:p>
        </w:tc>
        <w:tc>
          <w:tcPr>
            <w:tcW w:w="266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526" w:type="dxa"/>
            <w:vAlign w:val="center"/>
          </w:tcPr>
          <w:p>
            <w:pPr>
              <w:rPr>
                <w:lang w:eastAsia="ja-JP"/>
              </w:rPr>
            </w:pPr>
          </w:p>
        </w:tc>
        <w:tc>
          <w:tcPr>
            <w:tcW w:w="1300" w:type="dxa"/>
            <w:vAlign w:val="center"/>
          </w:tcPr>
          <w:p>
            <w:pPr>
              <w:rPr>
                <w:lang w:eastAsia="ja-JP"/>
              </w:rPr>
            </w:pPr>
          </w:p>
        </w:tc>
        <w:tc>
          <w:tcPr>
            <w:tcW w:w="473" w:type="dxa"/>
            <w:vAlign w:val="center"/>
          </w:tcPr>
          <w:p>
            <w:pPr>
              <w:rPr>
                <w:lang w:eastAsia="ja-JP"/>
              </w:rPr>
            </w:pPr>
          </w:p>
        </w:tc>
        <w:tc>
          <w:tcPr>
            <w:tcW w:w="2618" w:type="dxa"/>
            <w:vAlign w:val="center"/>
          </w:tcPr>
          <w:p>
            <w:pPr>
              <w:rPr>
                <w:lang w:eastAsia="ja-JP"/>
              </w:rPr>
            </w:pPr>
          </w:p>
        </w:tc>
        <w:tc>
          <w:tcPr>
            <w:tcW w:w="266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526" w:type="dxa"/>
            <w:vAlign w:val="center"/>
          </w:tcPr>
          <w:p>
            <w:pPr>
              <w:rPr>
                <w:lang w:eastAsia="ja-JP"/>
              </w:rPr>
            </w:pPr>
          </w:p>
        </w:tc>
        <w:tc>
          <w:tcPr>
            <w:tcW w:w="1300" w:type="dxa"/>
            <w:vAlign w:val="center"/>
          </w:tcPr>
          <w:p>
            <w:pPr>
              <w:rPr>
                <w:lang w:eastAsia="ja-JP"/>
              </w:rPr>
            </w:pPr>
          </w:p>
        </w:tc>
        <w:tc>
          <w:tcPr>
            <w:tcW w:w="473" w:type="dxa"/>
            <w:vAlign w:val="center"/>
          </w:tcPr>
          <w:p>
            <w:pPr>
              <w:rPr>
                <w:lang w:eastAsia="ja-JP"/>
              </w:rPr>
            </w:pPr>
          </w:p>
        </w:tc>
        <w:tc>
          <w:tcPr>
            <w:tcW w:w="2618" w:type="dxa"/>
            <w:vAlign w:val="center"/>
          </w:tcPr>
          <w:p>
            <w:pPr>
              <w:rPr>
                <w:lang w:eastAsia="ja-JP"/>
              </w:rPr>
            </w:pPr>
          </w:p>
        </w:tc>
        <w:tc>
          <w:tcPr>
            <w:tcW w:w="266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526" w:type="dxa"/>
            <w:vAlign w:val="center"/>
          </w:tcPr>
          <w:p>
            <w:pPr>
              <w:rPr>
                <w:lang w:eastAsia="ja-JP"/>
              </w:rPr>
            </w:pPr>
          </w:p>
        </w:tc>
        <w:tc>
          <w:tcPr>
            <w:tcW w:w="1300" w:type="dxa"/>
            <w:vAlign w:val="center"/>
          </w:tcPr>
          <w:p>
            <w:pPr>
              <w:rPr>
                <w:lang w:eastAsia="ja-JP"/>
              </w:rPr>
            </w:pPr>
          </w:p>
        </w:tc>
        <w:tc>
          <w:tcPr>
            <w:tcW w:w="473" w:type="dxa"/>
            <w:vAlign w:val="center"/>
          </w:tcPr>
          <w:p>
            <w:pPr>
              <w:rPr>
                <w:lang w:eastAsia="ja-JP"/>
              </w:rPr>
            </w:pPr>
          </w:p>
        </w:tc>
        <w:tc>
          <w:tcPr>
            <w:tcW w:w="2618" w:type="dxa"/>
            <w:vAlign w:val="center"/>
          </w:tcPr>
          <w:p>
            <w:pPr>
              <w:rPr>
                <w:lang w:eastAsia="ja-JP"/>
              </w:rPr>
            </w:pPr>
          </w:p>
        </w:tc>
        <w:tc>
          <w:tcPr>
            <w:tcW w:w="266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2019-N1QMS-2210533</w:t>
            </w:r>
          </w:p>
          <w:p>
            <w:r>
              <w:t>2021-N1EMS-1210533</w:t>
            </w:r>
          </w:p>
          <w:p>
            <w:r>
              <w:t>2021-N1OHSMS-1210533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潘荣君</w:t>
            </w:r>
          </w:p>
        </w:tc>
        <w:tc>
          <w:tcPr>
            <w:tcW w:w="1089" w:type="dxa"/>
            <w:vAlign w:val="center"/>
          </w:tcPr>
          <w:p>
            <w:r>
              <w:t>组员</w:t>
            </w:r>
          </w:p>
        </w:tc>
        <w:tc>
          <w:tcPr>
            <w:tcW w:w="711" w:type="dxa"/>
            <w:vAlign w:val="center"/>
          </w:tcPr>
          <w:p>
            <w:r>
              <w:t>男</w:t>
            </w:r>
          </w:p>
        </w:tc>
        <w:tc>
          <w:tcPr>
            <w:tcW w:w="3870" w:type="dxa"/>
            <w:vAlign w:val="center"/>
          </w:tcPr>
          <w:p>
            <w:r>
              <w:t>ISC-JSZJ-208</w:t>
            </w:r>
          </w:p>
          <w:p>
            <w:r>
              <w:t>ISC-JSZJ-208</w:t>
            </w:r>
          </w:p>
          <w:p>
            <w:r>
              <w:t>ISC-JSZJ-208</w:t>
            </w:r>
          </w:p>
          <w:p>
            <w:r>
              <w:t>洪湖市鼎固商砼有限公司</w:t>
            </w:r>
          </w:p>
        </w:tc>
        <w:tc>
          <w:tcPr>
            <w:tcW w:w="2179" w:type="dxa"/>
            <w:vAlign w:val="center"/>
          </w:tcPr>
          <w:p>
            <w:r>
              <w:t>Q:16.02.03</w:t>
            </w:r>
          </w:p>
          <w:p>
            <w:r>
              <w:t>E:16.02.03</w:t>
            </w:r>
          </w:p>
          <w:p>
            <w: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组员</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5" w:hRule="exact"/>
          <w:jc w:val="center"/>
        </w:trPr>
        <w:tc>
          <w:tcPr>
            <w:tcW w:w="1842" w:type="dxa"/>
          </w:tcPr>
          <w:p>
            <w:pPr>
              <w:rPr>
                <w:rFonts w:hint="eastAsia"/>
              </w:rPr>
            </w:pPr>
            <w:r>
              <w:rPr>
                <w:rFonts w:hint="eastAsia"/>
              </w:rPr>
              <w:t>审核组长签字</w:t>
            </w:r>
          </w:p>
          <w:p>
            <w:pPr>
              <w:pStyle w:val="2"/>
            </w:pP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1079500" cy="717550"/>
                  <wp:effectExtent l="0" t="0" r="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079500" cy="7175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2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确定了与相关管理体系有关的相关方及需求和希望；监视和评审了相关相关信息。</w:t>
            </w:r>
          </w:p>
          <w:tbl>
            <w:tblPr>
              <w:tblStyle w:val="9"/>
              <w:tblpPr w:leftFromText="180" w:rightFromText="180" w:vertAnchor="text" w:horzAnchor="page" w:tblpX="98" w:tblpY="296"/>
              <w:tblOverlap w:val="never"/>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436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36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25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36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☑遵守相关的法律法规</w:t>
                  </w:r>
                </w:p>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rPr>
                    <w:t>☑</w:t>
                  </w:r>
                  <w:r>
                    <w:rPr>
                      <w:rFonts w:hint="eastAsia"/>
                      <w:color w:val="000000" w:themeColor="text1"/>
                      <w:lang w:val="en-US" w:eastAsia="zh-CN"/>
                    </w:rPr>
                    <w:t>保障产品质量</w:t>
                  </w:r>
                </w:p>
              </w:tc>
              <w:tc>
                <w:tcPr>
                  <w:tcW w:w="25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36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w:t>
                  </w:r>
                  <w:r>
                    <w:rPr>
                      <w:rFonts w:hint="eastAsia"/>
                      <w:color w:val="000000" w:themeColor="text1"/>
                      <w:lang w:val="en-US" w:eastAsia="zh-CN"/>
                    </w:rPr>
                    <w:t>质量</w:t>
                  </w:r>
                  <w:r>
                    <w:rPr>
                      <w:rFonts w:hint="eastAsia"/>
                      <w:color w:val="000000" w:themeColor="text1"/>
                    </w:rPr>
                    <w:t>要求</w:t>
                  </w:r>
                </w:p>
              </w:tc>
              <w:tc>
                <w:tcPr>
                  <w:tcW w:w="25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36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w:t>
                  </w:r>
                  <w:r>
                    <w:rPr>
                      <w:rFonts w:hint="eastAsia"/>
                      <w:color w:val="000000" w:themeColor="text1"/>
                      <w:lang w:val="en-US" w:eastAsia="zh-CN"/>
                    </w:rPr>
                    <w:t>质量</w:t>
                  </w:r>
                  <w:r>
                    <w:rPr>
                      <w:rFonts w:hint="eastAsia"/>
                      <w:color w:val="000000" w:themeColor="text1"/>
                    </w:rPr>
                    <w:t>问题影响按时按质按量交付产品或服务；</w:t>
                  </w:r>
                </w:p>
              </w:tc>
              <w:tc>
                <w:tcPr>
                  <w:tcW w:w="25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36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w:t>
                  </w:r>
                  <w:r>
                    <w:rPr>
                      <w:rFonts w:hint="eastAsia"/>
                      <w:color w:val="000000" w:themeColor="text1"/>
                      <w:lang w:val="en-US" w:eastAsia="zh-CN"/>
                    </w:rPr>
                    <w:t>质量</w:t>
                  </w:r>
                  <w:r>
                    <w:rPr>
                      <w:rFonts w:hint="eastAsia"/>
                      <w:color w:val="000000" w:themeColor="text1"/>
                    </w:rPr>
                    <w:t>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25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361" w:type="dxa"/>
                </w:tcPr>
                <w:p>
                  <w:pPr>
                    <w:keepNext w:val="0"/>
                    <w:keepLines w:val="0"/>
                    <w:suppressLineNumbers w:val="0"/>
                    <w:spacing w:before="0" w:beforeAutospacing="0" w:after="0" w:afterAutospacing="0"/>
                    <w:ind w:left="0" w:right="0"/>
                    <w:rPr>
                      <w:rFonts w:hint="eastAsia"/>
                      <w:color w:val="000000" w:themeColor="text1"/>
                    </w:rPr>
                  </w:pPr>
                </w:p>
              </w:tc>
              <w:tc>
                <w:tcPr>
                  <w:tcW w:w="25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pStyle w:val="2"/>
              <w:rPr>
                <w:rFonts w:hint="eastAsia"/>
              </w:rPr>
            </w:pPr>
          </w:p>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诚信为本，质量至上；节能降耗，保护环境；</w:t>
            </w:r>
          </w:p>
          <w:p>
            <w:pPr>
              <w:shd w:val="clear" w:color="auto" w:fill="C7DAF1" w:themeFill="text2" w:themeFillTint="32"/>
              <w:rPr>
                <w:u w:val="single"/>
              </w:rPr>
            </w:pPr>
            <w:r>
              <w:rPr>
                <w:rFonts w:hint="eastAsia"/>
                <w:u w:val="single"/>
              </w:rPr>
              <w:t>健康安全，以人为本；规范管理，持续改进。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QMS的主管部门是——管理层</w:t>
            </w:r>
            <w:r>
              <w:rPr>
                <w:rFonts w:hint="eastAsia"/>
                <w:lang w:eastAsia="zh-CN"/>
              </w:rPr>
              <w:t>、</w:t>
            </w:r>
            <w:r>
              <w:rPr>
                <w:rFonts w:hint="eastAsia"/>
                <w:lang w:val="en-US" w:eastAsia="zh-CN"/>
              </w:rPr>
              <w:t>行政人事部、招标采购部、生产管理部、质量管理部、市场营销部、</w:t>
            </w:r>
            <w:r>
              <w:rPr>
                <w:rFonts w:hint="eastAsia"/>
                <w:lang w:eastAsia="zh-CN"/>
              </w:rPr>
              <w:t>财务成本部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tcPr>
                <w:p>
                  <w:pPr>
                    <w:shd w:val="clear" w:color="auto" w:fill="C7DAF1" w:themeFill="text2" w:themeFillTint="32"/>
                  </w:pPr>
                  <w:r>
                    <w:rPr>
                      <w:rFonts w:hint="eastAsia"/>
                    </w:rPr>
                    <w:t>加强与客户进行质量标准制定的沟通，统一双方的标准和检测方法；生产部门做好生产计划的安排，保证生产计划的执行；销售部加大客户交流沟通，及时处理客户的需求和意见</w:t>
                  </w:r>
                </w:p>
              </w:tc>
              <w:tc>
                <w:tcPr>
                  <w:tcW w:w="1717" w:type="dxa"/>
                </w:tcPr>
                <w:p>
                  <w:pPr>
                    <w:shd w:val="clear" w:color="auto" w:fill="C7DAF1" w:themeFill="text2" w:themeFillTint="32"/>
                    <w:rPr>
                      <w:rFonts w:hint="default"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rPr>
                    <w:t>监管部门监管力度的加大，如公司执行不规范，可能存在被查处的风险</w:t>
                  </w:r>
                  <w:r>
                    <w:rPr>
                      <w:rFonts w:hint="eastAsia"/>
                      <w:lang w:eastAsia="zh-CN"/>
                    </w:rPr>
                    <w:t>。</w:t>
                  </w:r>
                </w:p>
              </w:tc>
              <w:tc>
                <w:tcPr>
                  <w:tcW w:w="3965" w:type="dxa"/>
                </w:tcPr>
                <w:p>
                  <w:pPr>
                    <w:shd w:val="clear" w:color="auto" w:fill="C7DAF1" w:themeFill="text2" w:themeFillTint="32"/>
                  </w:pPr>
                  <w:r>
                    <w:rPr>
                      <w:rFonts w:hint="eastAsia"/>
                    </w:rPr>
                    <w:t>各级部门严格按照公司的规章制度开展相关工作</w:t>
                  </w:r>
                </w:p>
              </w:tc>
              <w:tc>
                <w:tcPr>
                  <w:tcW w:w="1717" w:type="dxa"/>
                </w:tcPr>
                <w:p>
                  <w:pPr>
                    <w:shd w:val="clear" w:color="auto" w:fill="C7DAF1" w:themeFill="text2" w:themeFillTint="32"/>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eastAsia="宋体" w:cs="宋体"/>
                      <w:color w:val="auto"/>
                      <w:sz w:val="21"/>
                      <w:szCs w:val="21"/>
                      <w:lang w:eastAsia="zh-CN" w:bidi="ar-SA"/>
                    </w:rPr>
                    <w:t>原材料市场不稳定，希望签订的年度合同和保底价格，带来的采购和资金风险。</w:t>
                  </w:r>
                </w:p>
              </w:tc>
              <w:tc>
                <w:tcPr>
                  <w:tcW w:w="3965" w:type="dxa"/>
                </w:tcPr>
                <w:p>
                  <w:pPr>
                    <w:shd w:val="clear" w:color="auto" w:fill="C7DAF1" w:themeFill="text2" w:themeFillTint="32"/>
                  </w:pPr>
                  <w:r>
                    <w:rPr>
                      <w:rFonts w:hint="eastAsia" w:ascii="宋体" w:hAnsi="宋体" w:eastAsia="宋体" w:cs="宋体"/>
                      <w:color w:val="auto"/>
                      <w:sz w:val="21"/>
                      <w:szCs w:val="21"/>
                      <w:lang w:eastAsia="zh-CN" w:bidi="ar-SA"/>
                    </w:rPr>
                    <w:t>对公司影响较大的大宗原材料做好年度采购计划</w:t>
                  </w:r>
                  <w:r>
                    <w:rPr>
                      <w:rFonts w:hint="eastAsia" w:asciiTheme="minorEastAsia" w:hAnsiTheme="minorEastAsia" w:eastAsiaTheme="minorEastAsia" w:cstheme="minorEastAsia"/>
                      <w:color w:val="auto"/>
                      <w:szCs w:val="24"/>
                      <w:lang w:val="en-US" w:eastAsia="zh-CN"/>
                    </w:rPr>
                    <w:t>。</w:t>
                  </w:r>
                </w:p>
              </w:tc>
              <w:tc>
                <w:tcPr>
                  <w:tcW w:w="1717" w:type="dxa"/>
                </w:tcPr>
                <w:p>
                  <w:pPr>
                    <w:shd w:val="clear" w:color="auto" w:fill="C7DAF1" w:themeFill="text2" w:themeFillTint="32"/>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2647"/>
              <w:gridCol w:w="1183"/>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47"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8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6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1、顾客满意度≥95%以上</w:t>
                  </w:r>
                </w:p>
              </w:tc>
              <w:tc>
                <w:tcPr>
                  <w:tcW w:w="2647" w:type="dxa"/>
                  <w:shd w:val="clear" w:color="auto" w:fill="auto"/>
                  <w:vAlign w:val="center"/>
                </w:tcPr>
                <w:p>
                  <w:pPr>
                    <w:shd w:val="clear" w:color="auto" w:fill="C7DAF1" w:themeFill="text2" w:themeFillTint="32"/>
                    <w:rPr>
                      <w:lang w:val="en-GB"/>
                    </w:rPr>
                  </w:pPr>
                  <w:r>
                    <w:rPr>
                      <w:rFonts w:hint="eastAsia"/>
                      <w:lang w:val="en-GB"/>
                    </w:rPr>
                    <w:t>顾客满意度调查总分数/调查顾客总数</w:t>
                  </w:r>
                </w:p>
              </w:tc>
              <w:tc>
                <w:tcPr>
                  <w:tcW w:w="1183" w:type="dxa"/>
                  <w:shd w:val="clear" w:color="auto" w:fill="auto"/>
                  <w:vAlign w:val="center"/>
                </w:tcPr>
                <w:p>
                  <w:pPr>
                    <w:shd w:val="clear" w:color="auto" w:fill="C7DAF1" w:themeFill="text2" w:themeFillTint="32"/>
                    <w:rPr>
                      <w:lang w:val="en-GB"/>
                    </w:rPr>
                  </w:pPr>
                  <w:r>
                    <w:rPr>
                      <w:rFonts w:hint="eastAsia"/>
                      <w:lang w:val="en-US" w:eastAsia="zh-CN"/>
                    </w:rPr>
                    <w:t>市场营销部</w:t>
                  </w:r>
                </w:p>
              </w:tc>
              <w:tc>
                <w:tcPr>
                  <w:tcW w:w="1569"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2、产品一次交验合格率 ≥100%</w:t>
                  </w:r>
                </w:p>
              </w:tc>
              <w:tc>
                <w:tcPr>
                  <w:tcW w:w="2647"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GB" w:eastAsia="zh-CN" w:bidi="ar-SA"/>
                    </w:rPr>
                  </w:pPr>
                  <w:r>
                    <w:rPr>
                      <w:rFonts w:hint="eastAsia" w:ascii="宋体" w:hAnsi="宋体" w:cs="Arial"/>
                      <w:szCs w:val="21"/>
                    </w:rPr>
                    <w:t>一次检验合格产品数/生产产品总数</w:t>
                  </w:r>
                </w:p>
              </w:tc>
              <w:tc>
                <w:tcPr>
                  <w:tcW w:w="1183" w:type="dxa"/>
                  <w:shd w:val="clear" w:color="auto" w:fill="auto"/>
                  <w:vAlign w:val="center"/>
                </w:tcPr>
                <w:p>
                  <w:pPr>
                    <w:shd w:val="clear" w:color="auto" w:fill="C7DAF1" w:themeFill="text2" w:themeFillTint="32"/>
                    <w:rPr>
                      <w:lang w:val="en-GB"/>
                    </w:rPr>
                  </w:pPr>
                  <w:r>
                    <w:rPr>
                      <w:rFonts w:hint="eastAsia"/>
                      <w:lang w:val="en-US" w:eastAsia="zh-CN"/>
                    </w:rPr>
                    <w:t>生产管理部</w:t>
                  </w:r>
                </w:p>
              </w:tc>
              <w:tc>
                <w:tcPr>
                  <w:tcW w:w="1569"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100%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keepNext w:val="0"/>
              <w:keepLines w:val="0"/>
              <w:suppressLineNumbers w:val="0"/>
              <w:spacing w:before="40" w:beforeAutospacing="0" w:after="40" w:afterAutospacing="0"/>
              <w:ind w:left="0" w:right="0"/>
            </w:pPr>
            <w:r>
              <w:rPr>
                <w:rFonts w:hint="eastAsia"/>
              </w:rPr>
              <w:sym w:font="Wingdings 2" w:char="00A3"/>
            </w:r>
            <w:r>
              <w:rPr>
                <w:rFonts w:hint="eastAsia"/>
              </w:rPr>
              <w:t>主要设备设施□主要检测设备□其他☑无变更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建筑面积3543.91㎡平方米；生产车间个；库房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rPr>
              <w:t>HZS-270混凝土搅拌站、HZS-180混凝土搅拌站、压滤机、砂石分离机、筛沙机、骨料皮带输送机、无塔供水器、搅拌车、喷淋降尘设备等设备</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lang w:val="en-US" w:eastAsia="zh-CN"/>
              </w:rPr>
              <w:t>电子秤</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混凝土的生产及销售</w:t>
                  </w:r>
                </w:p>
              </w:tc>
              <w:tc>
                <w:tcPr>
                  <w:tcW w:w="3665" w:type="dxa"/>
                </w:tcPr>
                <w:p>
                  <w:pPr>
                    <w:shd w:val="clear" w:color="auto" w:fill="C7DAF1" w:themeFill="text2" w:themeFillTint="32"/>
                    <w:jc w:val="left"/>
                  </w:pPr>
                  <w:r>
                    <w:rPr>
                      <w:rFonts w:hint="eastAsia" w:ascii="宋体"/>
                      <w:color w:val="000000"/>
                      <w:szCs w:val="21"/>
                      <w:lang w:val="en-US" w:eastAsia="zh-CN"/>
                    </w:rPr>
                    <w:t>配料混合</w:t>
                  </w:r>
                </w:p>
              </w:tc>
              <w:tc>
                <w:tcPr>
                  <w:tcW w:w="3265" w:type="dxa"/>
                </w:tcPr>
                <w:p>
                  <w:pPr>
                    <w:shd w:val="clear" w:color="auto" w:fill="C7DAF1" w:themeFill="text2" w:themeFillTint="32"/>
                    <w:jc w:val="left"/>
                    <w:rPr>
                      <w:rFonts w:hint="default"/>
                      <w:lang w:val="en-US"/>
                    </w:rPr>
                  </w:pPr>
                  <w:r>
                    <w:rPr>
                      <w:rFonts w:hint="eastAsia"/>
                      <w:lang w:val="en-US" w:eastAsia="zh-CN"/>
                    </w:rPr>
                    <w:t>作业规程、生产、销售监控记录</w:t>
                  </w:r>
                </w:p>
              </w:tc>
            </w:tr>
          </w:tbl>
          <w:p>
            <w:pPr>
              <w:pStyle w:val="2"/>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A3"/>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A3"/>
            </w:r>
            <w:r>
              <w:rPr>
                <w:rFonts w:hint="eastAsia"/>
              </w:rPr>
              <w:t>顾客座谈</w:t>
            </w:r>
            <w:r>
              <w:rPr>
                <w:rFonts w:hint="eastAsia" w:ascii="Wingdings" w:hAnsi="Wingdings"/>
                <w:lang w:eastAsia="zh-CN"/>
              </w:rPr>
              <w:sym w:font="Wingdings 2" w:char="00A3"/>
            </w:r>
            <w:r>
              <w:rPr>
                <w:rFonts w:hint="eastAsia"/>
              </w:rPr>
              <w:t>市场占有率分析</w:t>
            </w:r>
            <w:r>
              <w:rPr>
                <w:rFonts w:hint="eastAsia" w:ascii="Wingdings" w:hAnsi="Wingdings"/>
                <w:lang w:eastAsia="zh-CN"/>
              </w:rPr>
              <w:sym w:font="Wingdings 2" w:char="00A3"/>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通过年度策划于2021年8月27日-28日实施了质量管理体系内部审核，对质量管理体系的符合性和有效性进行了审核。内审发现的</w:t>
            </w:r>
            <w:r>
              <w:rPr>
                <w:rFonts w:hint="eastAsia"/>
                <w:lang w:val="en-US" w:eastAsia="zh-CN"/>
              </w:rPr>
              <w:t>2</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最高管理者已按策划的时间间隔，在2021年9月18日对组织的质量管理体系进行了评审，以确保其持续的适宜性、充分性和有效性；管理评审输入、输出均按要求提供。并对提出的改进措施进行了落实。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确定了与相关管理体系有关的相关方及需求和希望；监视和评审了相关相关信息。</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sym w:font="Wingdings 2" w:char="0052"/>
                  </w:r>
                  <w:r>
                    <w:rPr>
                      <w:rFonts w:hint="eastAsia"/>
                    </w:rPr>
                    <w:t>遵守环境相关的法律法规、</w:t>
                  </w:r>
                  <w:r>
                    <w:rPr>
                      <w:rFonts w:hint="eastAsia"/>
                    </w:rPr>
                    <w:sym w:font="Wingdings 2" w:char="0052"/>
                  </w:r>
                  <w:r>
                    <w:rPr>
                      <w:rFonts w:hint="eastAsi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sym w:font="Wingdings 2" w:char="0052"/>
                  </w:r>
                  <w:r>
                    <w:rPr>
                      <w:rFonts w:hint="eastAsia"/>
                    </w:rPr>
                    <w:t>组织的持续经营、</w:t>
                  </w:r>
                  <w:r>
                    <w:rPr>
                      <w:rFonts w:hint="eastAsia"/>
                    </w:rPr>
                    <w:sym w:font="Wingdings 2" w:char="0052"/>
                  </w:r>
                  <w:r>
                    <w:rPr>
                      <w:rFonts w:hint="eastAsia"/>
                    </w:rPr>
                    <w:t>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sym w:font="Wingdings 2" w:char="0052"/>
                  </w:r>
                  <w:r>
                    <w:rPr>
                      <w:rFonts w:hint="eastAsia"/>
                    </w:rPr>
                    <w:t>持续经营，不因环境违规停产；</w:t>
                  </w:r>
                  <w:r>
                    <w:rPr>
                      <w:rFonts w:hint="eastAsia"/>
                    </w:rPr>
                    <w:sym w:font="Wingdings 2" w:char="0052"/>
                  </w:r>
                  <w:r>
                    <w:rPr>
                      <w:rFonts w:hint="eastAsia"/>
                    </w:rPr>
                    <w:t>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sym w:font="Wingdings 2" w:char="0052"/>
                  </w:r>
                  <w:r>
                    <w:rPr>
                      <w:rFonts w:hint="eastAsia"/>
                    </w:rPr>
                    <w:t>遵守环境相关的法律法规、达标排放；</w:t>
                  </w:r>
                  <w:r>
                    <w:rPr>
                      <w:rFonts w:hint="eastAsia"/>
                    </w:rPr>
                    <w:sym w:font="Wingdings 2" w:char="0052"/>
                  </w:r>
                  <w:r>
                    <w:rPr>
                      <w:rFonts w:hint="eastAsia"/>
                    </w:rPr>
                    <w:t>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sym w:font="Wingdings 2" w:char="0052"/>
                  </w:r>
                  <w:r>
                    <w:rPr>
                      <w:rFonts w:hint="eastAsia"/>
                    </w:rPr>
                    <w:t>组织的持续经营、</w:t>
                  </w:r>
                  <w:r>
                    <w:rPr>
                      <w:rFonts w:hint="eastAsia"/>
                    </w:rPr>
                    <w:sym w:font="Wingdings 2" w:char="0052"/>
                  </w:r>
                  <w:r>
                    <w:rPr>
                      <w:rFonts w:hint="eastAsia"/>
                    </w:rPr>
                    <w:t>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sym w:font="Wingdings 2" w:char="00A3"/>
                  </w:r>
                  <w:r>
                    <w:rPr>
                      <w:rFonts w:hint="eastAsia"/>
                    </w:rPr>
                    <w:t>组织的持续经营、盈利；</w:t>
                  </w:r>
                  <w:r>
                    <w:rPr>
                      <w:rFonts w:hint="eastAsia"/>
                    </w:rPr>
                    <w:sym w:font="Wingdings 2" w:char="00A3"/>
                  </w:r>
                  <w:r>
                    <w:rPr>
                      <w:rFonts w:hint="eastAsia"/>
                    </w:rPr>
                    <w:t>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r>
              <w:rPr>
                <w:rFonts w:hint="eastAsia"/>
              </w:rPr>
              <w:t>混凝土的生产及销售所涉及场所的相关环境管理活动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sym w:font="Wingdings 2" w:char="00A3"/>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rPr>
              <w:sym w:font="Wingdings 2" w:char="00A3"/>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诚信为本，质量至上；节能降耗，保护环境；</w:t>
            </w:r>
          </w:p>
          <w:p>
            <w:pPr>
              <w:shd w:val="clear" w:color="auto" w:fill="EBF1DE" w:themeFill="accent3" w:themeFillTint="32"/>
              <w:rPr>
                <w:u w:val="single"/>
              </w:rPr>
            </w:pPr>
            <w:r>
              <w:rPr>
                <w:rFonts w:hint="eastAsia"/>
                <w:u w:val="single"/>
              </w:rPr>
              <w:t>健康安全，以人为本；规范管理，持续改进。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行政人事部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在策划环境管理体系时，组织确定了需要应对的风险和机遇及应对这些风险和机遇的措施；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329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32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如果公司现有的运行环境以及设施、设备管理不善，造成的服务停滞，环境污染，会给公司造成很大的服务风险</w:t>
                  </w:r>
                </w:p>
              </w:tc>
              <w:tc>
                <w:tcPr>
                  <w:tcW w:w="329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制定设备设施年度维保计划，并按照要求进行维保，提高办公环境</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3290"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建筑消防检测、消防演练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pStyle w:val="2"/>
              <w:rPr>
                <w:rFonts w:hint="eastAsia"/>
              </w:rPr>
            </w:pP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粉尘排放□危废排放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排污许可证编号：9142108368267698XH001Y</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sym w:font="Wingdings 2" w:char="0052"/>
            </w:r>
            <w:r>
              <w:rPr>
                <w:rFonts w:hint="eastAsia"/>
              </w:rPr>
              <w:t>环境影响报告书日期：JY2019048</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vAlign w:val="top"/>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vAlign w:val="top"/>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vAlign w:val="top"/>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40" w:lineRule="atLeast"/>
                    <w:jc w:val="left"/>
                    <w:rPr>
                      <w:rFonts w:hint="eastAsia" w:ascii="宋体" w:hAnsi="宋体" w:eastAsia="宋体" w:cs="Times New Roman"/>
                      <w:color w:val="000000"/>
                      <w:kern w:val="2"/>
                      <w:sz w:val="24"/>
                      <w:szCs w:val="24"/>
                      <w:u w:val="none"/>
                      <w:lang w:val="en-US" w:eastAsia="zh-CN" w:bidi="ar-SA"/>
                    </w:rPr>
                  </w:pPr>
                  <w:r>
                    <w:rPr>
                      <w:rFonts w:hint="eastAsia" w:ascii="宋体" w:hAnsi="宋体"/>
                      <w:color w:val="000000"/>
                      <w:sz w:val="24"/>
                      <w:szCs w:val="24"/>
                      <w:u w:val="none"/>
                    </w:rPr>
                    <w:t xml:space="preserve"> 生产中噪声、粉尘达标排放</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考核期内统计发生次数</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行政人事部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color w:val="000000"/>
                      <w:sz w:val="24"/>
                      <w:szCs w:val="24"/>
                      <w:u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40" w:lineRule="atLeast"/>
                    <w:jc w:val="left"/>
                    <w:rPr>
                      <w:rFonts w:hint="eastAsia" w:ascii="宋体" w:hAnsi="宋体" w:eastAsia="宋体" w:cs="Times New Roman"/>
                      <w:color w:val="000000"/>
                      <w:kern w:val="2"/>
                      <w:sz w:val="24"/>
                      <w:szCs w:val="24"/>
                      <w:u w:val="none"/>
                      <w:lang w:val="en-US" w:eastAsia="zh-CN" w:bidi="ar-SA"/>
                    </w:rPr>
                  </w:pPr>
                  <w:r>
                    <w:rPr>
                      <w:rFonts w:hint="eastAsia" w:ascii="宋体" w:hAnsi="宋体"/>
                      <w:color w:val="000000"/>
                      <w:sz w:val="24"/>
                      <w:szCs w:val="24"/>
                      <w:u w:val="none"/>
                    </w:rPr>
                    <w:t>固废分类管理，合格处置</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分类放置，处理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行政人事部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公司废弃物均有分类堆放,并与固废处理方签收协议。未有违规处置情形</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建筑面积3543.9</w:t>
            </w:r>
            <w:r>
              <w:rPr>
                <w:rFonts w:hint="eastAsia"/>
                <w:lang w:val="en-US" w:eastAsia="zh-CN"/>
              </w:rPr>
              <w:t>1</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u w:val="single"/>
              </w:rPr>
            </w:pPr>
            <w:r>
              <w:rPr>
                <w:rFonts w:hint="eastAsia"/>
              </w:rPr>
              <w:t>主要生产设备有：</w:t>
            </w:r>
            <w:r>
              <w:rPr>
                <w:rFonts w:hint="eastAsia"/>
                <w:u w:val="single"/>
              </w:rPr>
              <w:t>HZS-270混凝土搅拌站、HZS-180混凝土搅拌站、压滤机、砂石分离机、筛沙机、骨料皮带输送机、无塔供水器、搅拌车、喷淋降尘设备等设备</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rPr>
              <w:t>喷淋降尘设备</w:t>
            </w:r>
            <w:r>
              <w:rPr>
                <w:rFonts w:hint="eastAsia"/>
                <w:u w:val="single"/>
                <w:lang w:eastAsia="zh-CN"/>
              </w:rPr>
              <w:t>、</w:t>
            </w:r>
            <w:r>
              <w:rPr>
                <w:rFonts w:hint="eastAsia"/>
                <w:u w:val="single"/>
                <w:lang w:val="en-US" w:eastAsia="zh-CN"/>
              </w:rPr>
              <w:t>污水处理装置、垃圾桶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电消耗控制符合要求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资源降耗控制符合要求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eastAsia"/>
                      <w:lang w:val="en-US" w:eastAsia="zh-CN"/>
                    </w:rPr>
                  </w:pPr>
                  <w:r>
                    <w:rPr>
                      <w:rFonts w:hint="eastAsia"/>
                      <w:lang w:val="en-US" w:eastAsia="zh-CN"/>
                    </w:rPr>
                    <w:t>生产废水循环利用</w:t>
                  </w:r>
                </w:p>
                <w:p>
                  <w:pPr>
                    <w:shd w:val="clear" w:color="auto" w:fill="EBF1DE" w:themeFill="accent3" w:themeFillTint="32"/>
                    <w:jc w:val="left"/>
                    <w:rPr>
                      <w:rFonts w:hint="default" w:eastAsia="宋体"/>
                      <w:lang w:val="en-US" w:eastAsia="zh-CN"/>
                    </w:rPr>
                  </w:pPr>
                  <w:r>
                    <w:rPr>
                      <w:rFonts w:hint="eastAsia"/>
                      <w:lang w:val="en-US" w:eastAsia="zh-CN"/>
                    </w:rPr>
                    <w:t>生活污水达标排放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废气监测符合要求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噪声监测符合规定要求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集中回收，利用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已集中回收，利用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建立生产现场环境保护管理制度，定时洒水、清扫；原材料堆场、生产车间进行全覆盖工程，喷雾降尘</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粉尘控制符合要求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cs="Times New Roman"/>
                    </w:rPr>
                  </w:pPr>
                  <w:r>
                    <w:rPr>
                      <w:rFonts w:hint="eastAsia" w:ascii="Times New Roman" w:hAnsi="Times New Roman" w:cs="Times New Roman"/>
                    </w:rPr>
                    <w:t>火灾</w:t>
                  </w:r>
                </w:p>
              </w:tc>
              <w:tc>
                <w:tcPr>
                  <w:tcW w:w="3665" w:type="dxa"/>
                </w:tcPr>
                <w:p>
                  <w:pPr>
                    <w:shd w:val="clear" w:color="auto" w:fill="EBF1DE" w:themeFill="accent3" w:themeFillTint="32"/>
                    <w:jc w:val="left"/>
                    <w:rPr>
                      <w:rFonts w:hint="eastAsia" w:ascii="Times New Roman" w:hAnsi="Times New Roman" w:cs="Times New Roman"/>
                    </w:rPr>
                  </w:pPr>
                  <w:r>
                    <w:rPr>
                      <w:rFonts w:hint="eastAsia" w:ascii="Times New Roman" w:hAnsi="Times New Roman" w:cs="Times New Roman"/>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进行了应急演练，演练评价有效；未发生火灾事故。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于2021年7月17日进行了的演练；并总结了预案的可行性和有效性。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《环境监测报告》编号：武净（监）字20212142。</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通过年度策划于2021年08月27日-2021年08月28日实施了环境管理体系内部审核，对环境管理体系的符合性和有效性进行了审核。内审发现的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A3"/>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sym w:font="Wingdings 2" w:char="0052"/>
                  </w:r>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sym w:font="Wingdings 2" w:char="0052"/>
                  </w:r>
                  <w:r>
                    <w:rPr>
                      <w:rFonts w:hint="eastAsia"/>
                    </w:rPr>
                    <w:t>组织的持续经营、</w:t>
                  </w:r>
                  <w:r>
                    <w:rPr>
                      <w:rFonts w:hint="eastAsia"/>
                    </w:rPr>
                    <w:sym w:font="Wingdings 2" w:char="0052"/>
                  </w:r>
                  <w:r>
                    <w:rPr>
                      <w:rFonts w:hint="eastAsia"/>
                    </w:rPr>
                    <w:t>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sym w:font="Wingdings 2" w:char="0052"/>
                  </w:r>
                  <w:r>
                    <w:rPr>
                      <w:rFonts w:hint="eastAsia"/>
                    </w:rPr>
                    <w:t>按时按质按量交付产品或服务；</w:t>
                  </w:r>
                  <w:r>
                    <w:rPr>
                      <w:rFonts w:hint="eastAsia"/>
                    </w:rPr>
                    <w:sym w:font="Wingdings 2" w:char="0052"/>
                  </w:r>
                  <w:r>
                    <w:rPr>
                      <w:rFonts w:hint="eastAsia"/>
                    </w:rPr>
                    <w:t>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sym w:font="Wingdings 2" w:char="0052"/>
                  </w:r>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sym w:font="Wingdings 2" w:char="0052"/>
                  </w:r>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sym w:font="Wingdings 2" w:char="0052"/>
                  </w:r>
                  <w:r>
                    <w:rPr>
                      <w:rFonts w:hint="eastAsia"/>
                    </w:rPr>
                    <w:t>组织的持续经营、盈利；</w:t>
                  </w:r>
                  <w:r>
                    <w:rPr>
                      <w:rFonts w:hint="eastAsia"/>
                    </w:rPr>
                    <w:sym w:font="Wingdings 2" w:char="0052"/>
                  </w:r>
                  <w:r>
                    <w:rPr>
                      <w:rFonts w:hint="eastAsia"/>
                    </w:rPr>
                    <w:t>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混凝土的生产及销售所涉及场所的相关职业健康安全管理活动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rPr>
              <w:sym w:font="Wingdings 2" w:char="00A3"/>
            </w:r>
            <w:r>
              <w:rPr>
                <w:rFonts w:hint="eastAsia"/>
              </w:rPr>
              <w:t>消防检测</w:t>
            </w:r>
            <w:r>
              <w:rPr>
                <w:rFonts w:hint="eastAsia"/>
              </w:rPr>
              <w:sym w:font="Wingdings 2" w:char="00A3"/>
            </w:r>
            <w:r>
              <w:rPr>
                <w:rFonts w:hint="eastAsia"/>
              </w:rPr>
              <w:t>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诚信为本，质量至上；节能降耗，保护环境；健康安全，以人为本；规范管理，持续改进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行政人事部</w:t>
            </w:r>
          </w:p>
          <w:p>
            <w:pPr>
              <w:rPr>
                <w:rFonts w:hint="default" w:eastAsia="宋体"/>
                <w:lang w:val="en-US" w:eastAsia="zh-CN"/>
              </w:rPr>
            </w:pPr>
            <w:r>
              <w:rPr>
                <w:rFonts w:hint="eastAsia"/>
              </w:rPr>
              <w:t>安全的主管部门是——</w:t>
            </w:r>
            <w:r>
              <w:rPr>
                <w:rFonts w:hint="eastAsia"/>
                <w:lang w:val="en-US" w:eastAsia="zh-CN"/>
              </w:rPr>
              <w:t>生产管理部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员工代表是——彭玮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rFonts w:hint="eastAsia"/>
              </w:rPr>
            </w:pPr>
            <w:r>
              <w:rPr>
                <w:rFonts w:hint="eastAsia"/>
              </w:rPr>
              <w:t>在策划职业健康安全管理体系时，组织确定了需要应对的风险和机遇及应对这些风险和机遇的措施；</w:t>
            </w:r>
          </w:p>
          <w:tbl>
            <w:tblPr>
              <w:tblStyle w:val="8"/>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89"/>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1189"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567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20" w:lineRule="exact"/>
                    <w:ind w:left="0" w:right="0"/>
                    <w:rPr>
                      <w:rFonts w:hint="default"/>
                      <w:lang w:val="en-US" w:eastAsia="zh-CN"/>
                    </w:rPr>
                  </w:pPr>
                  <w:r>
                    <w:rPr>
                      <w:rFonts w:hint="eastAsia"/>
                    </w:rPr>
                    <w:t>火灾</w:t>
                  </w:r>
                </w:p>
              </w:tc>
              <w:tc>
                <w:tcPr>
                  <w:tcW w:w="1189"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机械伤害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触电伤害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eastAsia="宋体"/>
                      <w:lang w:eastAsia="zh-CN"/>
                    </w:rPr>
                  </w:pPr>
                  <w:r>
                    <w:rPr>
                      <w:rFonts w:hint="eastAsia"/>
                      <w:lang w:val="en-US" w:eastAsia="zh-CN"/>
                    </w:rPr>
                    <w:t>人身伤害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加强安全培训教育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default"/>
                      <w:lang w:val="en-US" w:eastAsia="zh-CN"/>
                    </w:rPr>
                  </w:pPr>
                  <w:r>
                    <w:rPr>
                      <w:rFonts w:hint="eastAsia"/>
                      <w:lang w:val="en-US" w:eastAsia="zh-CN"/>
                    </w:rPr>
                    <w:t>职业病</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default" w:eastAsia="宋体"/>
                      <w:lang w:val="en-US" w:eastAsia="zh-CN"/>
                    </w:rPr>
                  </w:pPr>
                  <w:r>
                    <w:rPr>
                      <w:rFonts w:hint="eastAsia"/>
                      <w:lang w:val="en-US" w:eastAsia="zh-CN"/>
                    </w:rPr>
                    <w:t>加强人员安全教育培训、定期体检、佩戴劳保用品</w:t>
                  </w:r>
                </w:p>
              </w:tc>
            </w:tr>
          </w:tbl>
          <w:p>
            <w:pPr>
              <w:pStyle w:val="2"/>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eastAsia"/>
                <w:lang w:val="en-US" w:eastAsia="zh-CN"/>
              </w:rPr>
            </w:pPr>
            <w:r>
              <w:rPr>
                <w:rFonts w:hint="eastAsia"/>
              </w:rPr>
              <w:sym w:font="Wingdings 2" w:char="00A3"/>
            </w:r>
            <w:r>
              <w:rPr>
                <w:rFonts w:hint="eastAsia"/>
              </w:rPr>
              <w:t>安全现状评估报告表日期：</w:t>
            </w:r>
            <w:r>
              <w:rPr>
                <w:rFonts w:hint="eastAsia"/>
                <w:lang w:val="en-US" w:eastAsia="zh-CN"/>
              </w:rPr>
              <w:t xml:space="preserve"> </w:t>
            </w:r>
          </w:p>
          <w:p>
            <w:pPr>
              <w:rPr>
                <w:rFonts w:hint="eastAsia" w:eastAsia="宋体"/>
                <w:lang w:eastAsia="zh-CN"/>
              </w:rPr>
            </w:pPr>
            <w:r>
              <w:rPr>
                <w:rFonts w:hint="eastAsia"/>
              </w:rPr>
              <w:t>□职业病体检报告书</w:t>
            </w:r>
            <w:r>
              <w:rPr>
                <w:rFonts w:hint="eastAsia"/>
                <w:lang w:val="en-US" w:eastAsia="zh-CN"/>
              </w:rPr>
              <w:t>编号</w:t>
            </w:r>
            <w:r>
              <w:rPr>
                <w:rFonts w:hint="eastAsia"/>
              </w:rPr>
              <w:t>：</w:t>
            </w:r>
            <w:r>
              <w:rPr>
                <w:rFonts w:hint="eastAsia"/>
                <w:lang w:val="en-US" w:eastAsia="zh-CN"/>
              </w:rPr>
              <w:t xml:space="preserve"> </w:t>
            </w:r>
          </w:p>
          <w:p>
            <w:r>
              <w:rPr>
                <w:rFonts w:hint="eastAsia"/>
              </w:rPr>
              <w:t>□消防验收/备案证明日期：</w:t>
            </w:r>
          </w:p>
          <w:p>
            <w:pPr>
              <w:rPr>
                <w:rFonts w:hint="eastAsia" w:eastAsia="宋体"/>
                <w:highlight w:val="cyan"/>
                <w:lang w:eastAsia="zh-CN"/>
              </w:rPr>
            </w:pPr>
            <w:r>
              <w:rPr>
                <w:rFonts w:hint="eastAsia"/>
              </w:rPr>
              <w:sym w:font="Wingdings 2" w:char="00A3"/>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hint="default" w:ascii="宋体" w:hAnsi="宋体" w:eastAsia="宋体"/>
                      <w:lang w:val="en-US" w:eastAsia="zh-CN"/>
                    </w:rPr>
                  </w:pPr>
                  <w:r>
                    <w:rPr>
                      <w:rFonts w:hint="eastAsia" w:ascii="宋体" w:hAnsi="宋体"/>
                      <w:lang w:val="en-US" w:eastAsia="zh-CN"/>
                    </w:rPr>
                    <w:t>计算方法</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lang w:val="en-US" w:eastAsia="zh-CN"/>
                    </w:rPr>
                    <w:t>1、</w:t>
                  </w:r>
                  <w:r>
                    <w:rPr>
                      <w:rFonts w:hint="eastAsia"/>
                    </w:rPr>
                    <w:t>劳保防护用品发放率100%</w:t>
                  </w:r>
                </w:p>
              </w:tc>
              <w:tc>
                <w:tcPr>
                  <w:tcW w:w="3136" w:type="dxa"/>
                  <w:shd w:val="clear" w:color="auto" w:fill="auto"/>
                  <w:vAlign w:val="center"/>
                </w:tcPr>
                <w:p>
                  <w:pPr>
                    <w:rPr>
                      <w:rFonts w:hint="default" w:eastAsia="宋体"/>
                      <w:lang w:val="en-US" w:eastAsia="zh-CN"/>
                    </w:rPr>
                  </w:pPr>
                  <w:r>
                    <w:rPr>
                      <w:rFonts w:hint="eastAsia"/>
                      <w:lang w:val="en-US" w:eastAsia="zh-CN"/>
                    </w:rPr>
                    <w:t>劳保防护用品应发放数量/实际发放数量*100%</w:t>
                  </w:r>
                </w:p>
              </w:tc>
              <w:tc>
                <w:tcPr>
                  <w:tcW w:w="1350" w:type="dxa"/>
                  <w:shd w:val="clear" w:color="auto" w:fill="auto"/>
                  <w:vAlign w:val="center"/>
                </w:tcPr>
                <w:p>
                  <w:pPr>
                    <w:rPr>
                      <w:rFonts w:hint="default" w:eastAsia="宋体"/>
                      <w:lang w:val="en-US" w:eastAsia="zh-CN"/>
                    </w:rPr>
                  </w:pPr>
                  <w:r>
                    <w:rPr>
                      <w:rFonts w:hint="eastAsia"/>
                      <w:lang w:val="en-US" w:eastAsia="zh-CN"/>
                    </w:rPr>
                    <w:t>行政人事部</w:t>
                  </w:r>
                </w:p>
              </w:tc>
              <w:tc>
                <w:tcPr>
                  <w:tcW w:w="1774" w:type="dxa"/>
                  <w:shd w:val="clear" w:color="auto" w:fill="auto"/>
                  <w:vAlign w:val="center"/>
                </w:tcPr>
                <w:p>
                  <w:pPr>
                    <w:jc w:val="center"/>
                    <w:rPr>
                      <w:rFonts w:hint="eastAsia" w:ascii="宋体" w:hAnsi="宋体" w:eastAsia="宋体" w:cs="Times New Roman"/>
                      <w:color w:val="000000"/>
                      <w:kern w:val="2"/>
                      <w:sz w:val="24"/>
                      <w:szCs w:val="24"/>
                      <w:lang w:val="en-GB" w:eastAsia="zh-CN" w:bidi="ar-SA"/>
                    </w:rPr>
                  </w:pPr>
                  <w:r>
                    <w:rPr>
                      <w:rFonts w:hint="eastAsia" w:ascii="宋体" w:hAnsi="宋体"/>
                      <w:color w:val="000000"/>
                      <w:sz w:val="24"/>
                    </w:rPr>
                    <w:t>100%</w:t>
                  </w:r>
                  <w:r>
                    <w:rPr>
                      <w:rFonts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lang w:val="en-US" w:eastAsia="zh-CN"/>
                    </w:rPr>
                    <w:t>2</w:t>
                  </w:r>
                  <w:r>
                    <w:rPr>
                      <w:rFonts w:hint="eastAsia"/>
                    </w:rPr>
                    <w:t>、职业病发生率控制在零</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统计实际发生次数</w:t>
                  </w:r>
                </w:p>
              </w:tc>
              <w:tc>
                <w:tcPr>
                  <w:tcW w:w="1350" w:type="dxa"/>
                  <w:shd w:val="clear" w:color="auto" w:fill="auto"/>
                  <w:vAlign w:val="center"/>
                </w:tcPr>
                <w:p>
                  <w:pPr>
                    <w:rPr>
                      <w:rFonts w:ascii="宋体" w:hAnsi="宋体"/>
                    </w:rPr>
                  </w:pPr>
                  <w:r>
                    <w:rPr>
                      <w:rFonts w:hint="eastAsia"/>
                      <w:lang w:val="en-US" w:eastAsia="zh-CN"/>
                    </w:rPr>
                    <w:t>行政人事部</w:t>
                  </w:r>
                </w:p>
              </w:tc>
              <w:tc>
                <w:tcPr>
                  <w:tcW w:w="1774" w:type="dxa"/>
                  <w:shd w:val="clear" w:color="auto" w:fill="auto"/>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lang w:val="en-US" w:eastAsia="zh-CN"/>
                    </w:rPr>
                    <w:t>3</w:t>
                  </w:r>
                  <w:r>
                    <w:rPr>
                      <w:rFonts w:hint="eastAsia"/>
                    </w:rPr>
                    <w:t>、重大质量事故和安全事故为零</w:t>
                  </w:r>
                </w:p>
              </w:tc>
              <w:tc>
                <w:tcPr>
                  <w:tcW w:w="3136" w:type="dxa"/>
                  <w:shd w:val="clear" w:color="auto" w:fill="auto"/>
                  <w:vAlign w:val="center"/>
                </w:tcPr>
                <w:p>
                  <w:pPr>
                    <w:rPr>
                      <w:rFonts w:ascii="宋体" w:hAnsi="宋体"/>
                    </w:rPr>
                  </w:pPr>
                  <w:r>
                    <w:rPr>
                      <w:rFonts w:hint="eastAsia" w:ascii="宋体" w:hAnsi="宋体"/>
                      <w:lang w:val="en-US" w:eastAsia="zh-CN"/>
                    </w:rPr>
                    <w:t>统计实际发生次数</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生产管理部</w:t>
                  </w:r>
                </w:p>
              </w:tc>
              <w:tc>
                <w:tcPr>
                  <w:tcW w:w="1774" w:type="dxa"/>
                  <w:shd w:val="clear" w:color="auto" w:fill="auto"/>
                  <w:vAlign w:val="center"/>
                </w:tcPr>
                <w:p>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pPr>
              <w:pStyle w:val="2"/>
              <w:rPr>
                <w:rFonts w:hint="eastAsia"/>
              </w:rPr>
            </w:pPr>
            <w:r>
              <w:rPr>
                <w:rFonts w:hint="eastAsia"/>
              </w:rPr>
              <w:t>建筑面积3543.91平方米；生产车间2个；库房1个；实验室1个；</w:t>
            </w:r>
          </w:p>
          <w:p>
            <w:pPr>
              <w:pStyle w:val="2"/>
              <w:rPr>
                <w:rFonts w:hint="eastAsia"/>
              </w:rPr>
            </w:pPr>
            <w:r>
              <w:rPr>
                <w:rFonts w:hint="eastAsia"/>
              </w:rPr>
              <w:t>主要生产设备有：HZS-270混凝土搅拌站、HZS-180混凝土搅拌站、压滤机、砂石分离机、筛沙机、骨料皮带输送机、无塔供水器、搅拌车、喷淋降尘设备等设备</w:t>
            </w:r>
          </w:p>
          <w:p>
            <w:pPr>
              <w:rPr>
                <w:rFonts w:hint="default" w:eastAsia="宋体"/>
                <w:lang w:val="en-US" w:eastAsia="zh-CN"/>
              </w:rPr>
            </w:pPr>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sym w:font="Wingdings 2" w:char="00A3"/>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sym w:font="Wingdings 2" w:char="00A3"/>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sym w:font="Wingdings 2" w:char="00A3"/>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A3"/>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搅拌、实验、维修过程安全装置控制符合要求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rPr>
                    <w:sym w:font="Wingdings 2" w:char="0052"/>
                  </w:r>
                  <w:r>
                    <w:rPr>
                      <w:rFonts w:hint="eastAsia"/>
                      <w:lang w:val="en-US" w:eastAsia="zh-CN"/>
                    </w:rPr>
                    <w:t>消防装置</w:t>
                  </w:r>
                  <w:r>
                    <w:rPr>
                      <w:rFonts w:hint="eastAsia"/>
                    </w:rPr>
                    <w:sym w:font="Wingdings 2" w:char="0052"/>
                  </w:r>
                  <w:r>
                    <w:rPr>
                      <w:rFonts w:hint="eastAsia"/>
                      <w:lang w:val="en-US" w:eastAsia="zh-CN"/>
                    </w:rPr>
                    <w:t>应急演练</w:t>
                  </w:r>
                </w:p>
              </w:tc>
              <w:tc>
                <w:tcPr>
                  <w:tcW w:w="2205" w:type="dxa"/>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于2021 年 5 月 26 日进行了高空坠落的演练；并总结了预案的可行性和有效性。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 JLJC（2021）-JP-289 颁发日期： 2021年 9月 7日。</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21"/>
              </w:rPr>
              <w:t>2021年0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27</w:t>
            </w:r>
            <w:r>
              <w:rPr>
                <w:rFonts w:hint="eastAsia"/>
                <w:color w:val="000000"/>
                <w:szCs w:val="21"/>
              </w:rPr>
              <w:t>日-2021年0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28</w:t>
            </w:r>
            <w:r>
              <w:rPr>
                <w:rFonts w:hint="eastAsia"/>
                <w:color w:val="000000"/>
                <w:szCs w:val="21"/>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sym w:font="Wingdings 2" w:char="00A3"/>
            </w:r>
            <w:r>
              <w:rPr>
                <w:rFonts w:hint="eastAsia"/>
              </w:rPr>
              <w:t xml:space="preserve">其他 </w:t>
            </w:r>
            <w:r>
              <w:rPr>
                <w:rFonts w:hint="eastAsia" w:ascii="Wingdings" w:hAnsi="Wingdings"/>
                <w:lang w:eastAsia="zh-CN"/>
              </w:rPr>
              <w:sym w:font="Wingdings 2" w:char="0052"/>
            </w:r>
            <w:r>
              <w:rPr>
                <w:rFonts w:hint="eastAsia"/>
              </w:rPr>
              <w:t>未发生</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sym w:font="Wingdings 2" w:char="00A3"/>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bookmarkStart w:id="34" w:name="_GoBack"/>
      <w:bookmarkEnd w:id="34"/>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936CB9"/>
    <w:rsid w:val="06691F53"/>
    <w:rsid w:val="06CE625A"/>
    <w:rsid w:val="09D122E9"/>
    <w:rsid w:val="0B4C6424"/>
    <w:rsid w:val="10F66AD9"/>
    <w:rsid w:val="11BE1A7D"/>
    <w:rsid w:val="15C54CCC"/>
    <w:rsid w:val="16A30325"/>
    <w:rsid w:val="1CBC0BD7"/>
    <w:rsid w:val="1F283073"/>
    <w:rsid w:val="2C882884"/>
    <w:rsid w:val="338A5133"/>
    <w:rsid w:val="3D0A1093"/>
    <w:rsid w:val="40F00153"/>
    <w:rsid w:val="442C5D93"/>
    <w:rsid w:val="45AE1C6B"/>
    <w:rsid w:val="46F006B8"/>
    <w:rsid w:val="488E0DCA"/>
    <w:rsid w:val="4C072BE2"/>
    <w:rsid w:val="528D20F2"/>
    <w:rsid w:val="53D37FD9"/>
    <w:rsid w:val="55456CB4"/>
    <w:rsid w:val="651173DD"/>
    <w:rsid w:val="6D6A3304"/>
    <w:rsid w:val="6F2A2D4B"/>
    <w:rsid w:val="72F06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2021-11-20T03:21:25Z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