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财务成本部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杜子成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bookmarkStart w:id="0" w:name="联系人"/>
            <w:r>
              <w:rPr>
                <w:sz w:val="21"/>
                <w:szCs w:val="21"/>
              </w:rPr>
              <w:t>陈金祥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EMS /OMS：5.3组织的岗位、职责和权限、6.1.2环境因素/危险源、6.2质量/环境/职业健康安全目标及其实现的策划、7.1资源EMS/OHSMS运行控制相关财务支出证据</w:t>
            </w:r>
            <w:r>
              <w:rPr>
                <w:rFonts w:hint="eastAsia" w:ascii="楷体" w:hAnsi="楷体" w:eastAsia="楷体" w:cs="Arial"/>
                <w:szCs w:val="21"/>
              </w:rPr>
              <w:t>,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1、全面负责财务部的日常管理工作；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2、组织制定财务方面的管理制度及有关规定，并监督执行；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3、制定、维护、改进公司财务管理程序和政策，制定年度、季度财务计划；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4、负责编制及组织实施财务预算报告，月、季、年度财务报告；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5、负责公司全面的资金调配，成本核算、会计核算和分析工作；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6、负责资金、资产的管理工作；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7、监控可能会对公司造成经济损失的重大经济活动；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8、管理与银行及其他机构的关系；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9、协助财务总监开展财务部与内外的沟通和协调工作；</w:t>
            </w:r>
          </w:p>
          <w:p>
            <w:pPr>
              <w:spacing w:line="28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10、完成上级交给的其他日常事务性工作。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环境因素、危险源辨识与评价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EO6.1.2 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供销部按照《危险源辨识和风险控制策划程序》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、《环境因素识别与评价控制程序》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环保设备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销售服务过程的环境因素、危险源进行了辨识，辨识时考虑了三种时态：过去、现在和将来，和三种状态：正常、异常和紧急。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查“环境因素识别评价汇总表”，识别了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财务成本部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在办公相关方等各有关过程的环境因素，包括办公设备噪声排放、办公固废排放、水电消耗、生活垃圾排放、车辆尾气排放、废包装物排放等环境因素，识别时能考虑产品生命周期观点。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查《重要环境因素清单》，涉及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财务成本部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有2项重要环境因素，包括：火灾、固体废弃物的排放。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控制措施：固废分类存放、垃圾等由办公室负责按规定处置，包装物分类卖掉，日常检查、培训教育，配备有消防器材、进行应急演练等措施。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查“危险源识别及风险评价表”，识别了办公室吸烟、复印件辐射、砸伤、触电、火灾、产品堆放太高不整齐没捆绑、违规操作不按照安全操作规程等危险源。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查《重大危险源清单》，涉及本部门的有3个不可接受风险，包括：触电、火灾、人身伤害等。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line="2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部门识别和评价基本充分，符合规定要求，运行控制参见EO8.1审核记录。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QEO6.2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公司对管理体系所需的相关职能、层次和过程设定管理目标。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公司管理目标是：</w:t>
            </w:r>
          </w:p>
          <w:tbl>
            <w:tblPr>
              <w:tblStyle w:val="11"/>
              <w:tblW w:w="906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09"/>
              <w:gridCol w:w="1335"/>
              <w:gridCol w:w="1857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4809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质量、环境、职业健康安全目标</w:t>
                  </w:r>
                </w:p>
              </w:tc>
              <w:tc>
                <w:tcPr>
                  <w:tcW w:w="4254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考核（20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/>
                      <w:sz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月-20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/>
                      <w:sz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24"/>
                    </w:rPr>
                    <w:t>月份）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  <w:jc w:val="center"/>
              </w:trPr>
              <w:tc>
                <w:tcPr>
                  <w:tcW w:w="4809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考核情况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考核时间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考核人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1、资金使用计划到位率100%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2、成本计划编制、实施、监督100%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3、合同审查，确保资金安全率100%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4、工资、奖金分配审查、监督保证率100%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5、职业健康安全保证资金100%到位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6、杜绝工伤事故，轻伤休工率为零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2021.9.30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陈金祥</w:t>
                  </w:r>
                </w:p>
              </w:tc>
            </w:tr>
          </w:tbl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目标可测量，与公司管理方针一致。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每年由</w:t>
            </w:r>
            <w:r>
              <w:rPr>
                <w:rFonts w:hint="eastAsia"/>
                <w:lang w:eastAsia="zh-CN"/>
              </w:rPr>
              <w:t>行政人资部</w:t>
            </w:r>
            <w:r>
              <w:rPr>
                <w:rFonts w:hint="eastAsia"/>
              </w:rPr>
              <w:t>按公司管理目标考核</w:t>
            </w:r>
            <w:bookmarkStart w:id="1" w:name="_GoBack"/>
            <w:bookmarkEnd w:id="1"/>
            <w:r>
              <w:rPr>
                <w:rFonts w:hint="eastAsia"/>
              </w:rPr>
              <w:t>要求统计考核公司管理目标完成情况，提交管理评审会议。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针对重要环境因素、不可接受风险制订了管理方案并予以实施，基本有效，详见</w:t>
            </w:r>
            <w:r>
              <w:rPr>
                <w:rFonts w:hint="eastAsia"/>
                <w:lang w:eastAsia="zh-CN"/>
              </w:rPr>
              <w:t>行政人资部</w:t>
            </w:r>
            <w:r>
              <w:rPr>
                <w:rFonts w:hint="eastAsia"/>
              </w:rPr>
              <w:t>该条款审核记录。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对环境和</w:t>
            </w:r>
            <w:r>
              <w:rPr>
                <w:rFonts w:hint="eastAsia"/>
                <w:color w:val="auto"/>
                <w:lang w:val="en-US" w:eastAsia="zh-CN"/>
              </w:rPr>
              <w:t>职业健康安全</w:t>
            </w:r>
            <w:r>
              <w:rPr>
                <w:rFonts w:hint="eastAsia"/>
                <w:lang w:val="en-US" w:eastAsia="zh-CN"/>
              </w:rPr>
              <w:t>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114.5万元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2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部门运行控制基本能符合标准规定的要求。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EO8.2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制定实施了《应急准备和响应控制程序》，制定了火灾、人员伤亡应急预案。内容包括：目的、适用范围、职责、应急处理细则、演习、必备资料等。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详见行政人资部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EO8.2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审核记录</w:t>
            </w:r>
          </w:p>
          <w:p>
            <w:pPr>
              <w:spacing w:line="2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体系运行至今未发生紧急情况。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7C51645"/>
    <w:rsid w:val="108219C2"/>
    <w:rsid w:val="183335D6"/>
    <w:rsid w:val="23145CA5"/>
    <w:rsid w:val="273565DA"/>
    <w:rsid w:val="3F93612B"/>
    <w:rsid w:val="4A607AC0"/>
    <w:rsid w:val="4FF0324F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0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character" w:customStyle="1" w:styleId="13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741</Words>
  <Characters>4227</Characters>
  <Lines>35</Lines>
  <Paragraphs>9</Paragraphs>
  <TotalTime>0</TotalTime>
  <ScaleCrop>false</ScaleCrop>
  <LinksUpToDate>false</LinksUpToDate>
  <CharactersWithSpaces>4959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2021-11-07T08:47:23Z</dcterms:modified>
  <cp:revision>1043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8E7CF342FD5742309AB5561094EE89A7</vt:lpwstr>
  </property>
</Properties>
</file>