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1145-2021-QEO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洪湖市现代基业商品砼有限公司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2021年11月05日 上午至2021年11月05日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A3"/>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37"/>
        <w:gridCol w:w="147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37" w:type="dxa"/>
            <w:vAlign w:val="center"/>
          </w:tcPr>
          <w:p>
            <w:pPr>
              <w:spacing w:line="240" w:lineRule="exact"/>
              <w:jc w:val="center"/>
              <w:rPr>
                <w:b/>
                <w:color w:val="000000"/>
                <w:szCs w:val="21"/>
              </w:rPr>
            </w:pPr>
            <w:r>
              <w:rPr>
                <w:rFonts w:hint="eastAsia"/>
                <w:szCs w:val="21"/>
              </w:rPr>
              <w:t>审核员注册证书号</w:t>
            </w:r>
          </w:p>
        </w:tc>
        <w:tc>
          <w:tcPr>
            <w:tcW w:w="1473"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537" w:type="dxa"/>
            <w:vAlign w:val="center"/>
          </w:tcPr>
          <w:p>
            <w:pPr>
              <w:spacing w:line="240" w:lineRule="exact"/>
              <w:jc w:val="center"/>
              <w:rPr>
                <w:b/>
                <w:color w:val="000000"/>
                <w:szCs w:val="21"/>
              </w:rPr>
            </w:pPr>
            <w:r>
              <w:rPr>
                <w:b/>
                <w:color w:val="000000"/>
                <w:szCs w:val="21"/>
              </w:rPr>
              <w:t>2019-N1QMS-2210533</w:t>
            </w:r>
          </w:p>
          <w:p>
            <w:pPr>
              <w:spacing w:line="240" w:lineRule="exact"/>
              <w:jc w:val="center"/>
              <w:rPr>
                <w:b/>
                <w:color w:val="000000"/>
                <w:szCs w:val="21"/>
              </w:rPr>
            </w:pPr>
            <w:r>
              <w:rPr>
                <w:b/>
                <w:color w:val="000000"/>
                <w:szCs w:val="21"/>
              </w:rPr>
              <w:t>2021-N1EMS-1210533</w:t>
            </w:r>
          </w:p>
          <w:p>
            <w:pPr>
              <w:spacing w:line="240" w:lineRule="exact"/>
              <w:jc w:val="center"/>
              <w:rPr>
                <w:b/>
                <w:color w:val="000000"/>
                <w:szCs w:val="21"/>
              </w:rPr>
            </w:pPr>
            <w:r>
              <w:rPr>
                <w:b/>
                <w:color w:val="000000"/>
                <w:szCs w:val="21"/>
              </w:rPr>
              <w:t>2021-N1OHSMS-1210533</w:t>
            </w:r>
          </w:p>
        </w:tc>
        <w:tc>
          <w:tcPr>
            <w:tcW w:w="1473" w:type="dxa"/>
            <w:vAlign w:val="center"/>
          </w:tcPr>
          <w:p>
            <w:pPr>
              <w:spacing w:line="240" w:lineRule="exact"/>
              <w:jc w:val="center"/>
              <w:rPr>
                <w:b/>
                <w:color w:val="000000"/>
                <w:szCs w:val="21"/>
              </w:rPr>
            </w:pPr>
          </w:p>
        </w:tc>
        <w:tc>
          <w:tcPr>
            <w:tcW w:w="1088" w:type="dxa"/>
            <w:vAlign w:val="center"/>
          </w:tcPr>
          <w:p>
            <w:pPr>
              <w:spacing w:line="240" w:lineRule="exact"/>
              <w:jc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537" w:type="dxa"/>
            <w:vAlign w:val="center"/>
          </w:tcPr>
          <w:p>
            <w:pPr>
              <w:spacing w:line="240" w:lineRule="exact"/>
              <w:jc w:val="center"/>
              <w:rPr>
                <w:b/>
                <w:color w:val="000000"/>
                <w:szCs w:val="21"/>
              </w:rPr>
            </w:pPr>
            <w:r>
              <w:rPr>
                <w:b/>
                <w:color w:val="000000"/>
                <w:szCs w:val="21"/>
              </w:rPr>
              <w:t>2020-N1QMS-1263375</w:t>
            </w:r>
          </w:p>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473"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潘荣君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537" w:type="dxa"/>
            <w:vAlign w:val="center"/>
          </w:tcPr>
          <w:p>
            <w:pPr>
              <w:spacing w:line="240" w:lineRule="exact"/>
              <w:jc w:val="center"/>
              <w:rPr>
                <w:b/>
                <w:color w:val="000000"/>
                <w:szCs w:val="21"/>
              </w:rPr>
            </w:pPr>
            <w:r>
              <w:rPr>
                <w:b/>
                <w:color w:val="000000"/>
                <w:szCs w:val="21"/>
              </w:rPr>
              <w:t>ISC-JSZJ-208</w:t>
            </w:r>
          </w:p>
          <w:p>
            <w:pPr>
              <w:spacing w:line="240" w:lineRule="exact"/>
              <w:jc w:val="center"/>
              <w:rPr>
                <w:b/>
                <w:color w:val="000000"/>
                <w:szCs w:val="21"/>
              </w:rPr>
            </w:pPr>
            <w:r>
              <w:rPr>
                <w:b/>
                <w:color w:val="000000"/>
                <w:szCs w:val="21"/>
              </w:rPr>
              <w:t>ISC-JSZJ-208</w:t>
            </w:r>
          </w:p>
          <w:p>
            <w:pPr>
              <w:spacing w:line="240" w:lineRule="exact"/>
              <w:jc w:val="center"/>
              <w:rPr>
                <w:b/>
                <w:color w:val="000000"/>
                <w:szCs w:val="21"/>
              </w:rPr>
            </w:pPr>
            <w:r>
              <w:rPr>
                <w:b/>
                <w:color w:val="000000"/>
                <w:szCs w:val="21"/>
              </w:rPr>
              <w:t>ISC-JSZJ-208</w:t>
            </w:r>
          </w:p>
          <w:p>
            <w:pPr>
              <w:spacing w:line="240" w:lineRule="exact"/>
              <w:jc w:val="center"/>
              <w:rPr>
                <w:b/>
                <w:color w:val="000000"/>
                <w:szCs w:val="21"/>
              </w:rPr>
            </w:pPr>
            <w:r>
              <w:rPr>
                <w:b/>
                <w:color w:val="000000"/>
                <w:szCs w:val="21"/>
              </w:rPr>
              <w:t>洪湖市鼎固商砼有限公司</w:t>
            </w:r>
          </w:p>
        </w:tc>
        <w:tc>
          <w:tcPr>
            <w:tcW w:w="1473" w:type="dxa"/>
            <w:vAlign w:val="center"/>
          </w:tcPr>
          <w:p>
            <w:pPr>
              <w:spacing w:line="240" w:lineRule="exact"/>
              <w:jc w:val="center"/>
              <w:rPr>
                <w:b/>
                <w:color w:val="000000"/>
                <w:szCs w:val="21"/>
              </w:rPr>
            </w:pPr>
            <w:r>
              <w:rPr>
                <w:b/>
                <w:color w:val="000000"/>
                <w:szCs w:val="21"/>
              </w:rPr>
              <w:t>Q:16.02.03</w:t>
            </w:r>
          </w:p>
          <w:p>
            <w:pPr>
              <w:spacing w:line="240" w:lineRule="exact"/>
              <w:jc w:val="center"/>
              <w:rPr>
                <w:b/>
                <w:color w:val="000000"/>
                <w:szCs w:val="21"/>
              </w:rPr>
            </w:pPr>
            <w:r>
              <w:rPr>
                <w:b/>
                <w:color w:val="000000"/>
                <w:szCs w:val="21"/>
              </w:rPr>
              <w:t>E:16.02.03</w:t>
            </w:r>
          </w:p>
          <w:p>
            <w:pPr>
              <w:spacing w:line="240" w:lineRule="exact"/>
              <w:jc w:val="center"/>
              <w:rPr>
                <w:b/>
                <w:color w:val="000000"/>
                <w:szCs w:val="21"/>
              </w:rPr>
            </w:pPr>
            <w:r>
              <w:rPr>
                <w:b/>
                <w:color w:val="000000"/>
                <w:szCs w:val="21"/>
              </w:rPr>
              <w:t>O:16.02.03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537" w:type="dxa"/>
            <w:vAlign w:val="center"/>
          </w:tcPr>
          <w:p>
            <w:pPr>
              <w:spacing w:line="240" w:lineRule="exact"/>
              <w:jc w:val="center"/>
              <w:rPr>
                <w:b/>
                <w:color w:val="000000"/>
                <w:szCs w:val="21"/>
              </w:rPr>
            </w:pPr>
            <w:r>
              <w:rPr>
                <w:b/>
                <w:color w:val="000000"/>
                <w:szCs w:val="21"/>
              </w:rPr>
              <w:t>2019-N1QMS-1258213</w:t>
            </w:r>
          </w:p>
          <w:p>
            <w:pPr>
              <w:spacing w:line="240" w:lineRule="exact"/>
              <w:jc w:val="center"/>
              <w:rPr>
                <w:b/>
                <w:color w:val="000000"/>
                <w:szCs w:val="21"/>
              </w:rPr>
            </w:pPr>
            <w:r>
              <w:rPr>
                <w:b/>
                <w:color w:val="000000"/>
                <w:szCs w:val="21"/>
              </w:rPr>
              <w:t>2020-N1EMS-1258213</w:t>
            </w:r>
          </w:p>
          <w:p>
            <w:pPr>
              <w:spacing w:line="240" w:lineRule="exact"/>
              <w:jc w:val="center"/>
              <w:rPr>
                <w:b/>
                <w:color w:val="000000"/>
                <w:szCs w:val="21"/>
              </w:rPr>
            </w:pPr>
            <w:r>
              <w:rPr>
                <w:b/>
                <w:color w:val="000000"/>
                <w:szCs w:val="21"/>
              </w:rPr>
              <w:t>2020-N1OHSMS-1258213</w:t>
            </w:r>
          </w:p>
        </w:tc>
        <w:tc>
          <w:tcPr>
            <w:tcW w:w="1473" w:type="dxa"/>
            <w:vAlign w:val="center"/>
          </w:tcPr>
          <w:p>
            <w:pPr>
              <w:spacing w:line="240" w:lineRule="exact"/>
              <w:jc w:val="center"/>
              <w:rPr>
                <w:b/>
                <w:color w:val="000000"/>
                <w:szCs w:val="21"/>
              </w:rPr>
            </w:pPr>
          </w:p>
        </w:tc>
        <w:tc>
          <w:tcPr>
            <w:tcW w:w="1088" w:type="dxa"/>
            <w:vAlign w:val="center"/>
          </w:tcPr>
          <w:p>
            <w:pPr>
              <w:spacing w:line="240" w:lineRule="exact"/>
              <w:jc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jc w:val="center"/>
              <w:rPr>
                <w:b/>
                <w:color w:val="000000"/>
                <w:szCs w:val="21"/>
              </w:rPr>
            </w:pPr>
            <w:r>
              <w:rPr>
                <w:rFonts w:hint="eastAsia"/>
                <w:b/>
                <w:color w:val="000000"/>
                <w:szCs w:val="21"/>
              </w:rPr>
              <w:t>姓名</w:t>
            </w:r>
          </w:p>
        </w:tc>
        <w:tc>
          <w:tcPr>
            <w:tcW w:w="1089" w:type="dxa"/>
            <w:vAlign w:val="center"/>
          </w:tcPr>
          <w:p>
            <w:pPr>
              <w:jc w:val="center"/>
              <w:rPr>
                <w:b/>
                <w:color w:val="000000"/>
                <w:szCs w:val="21"/>
              </w:rPr>
            </w:pPr>
            <w:r>
              <w:rPr>
                <w:rFonts w:hint="eastAsia"/>
                <w:b/>
                <w:color w:val="000000"/>
                <w:szCs w:val="21"/>
              </w:rPr>
              <w:t>作用</w:t>
            </w:r>
          </w:p>
        </w:tc>
        <w:tc>
          <w:tcPr>
            <w:tcW w:w="711" w:type="dxa"/>
            <w:vAlign w:val="center"/>
          </w:tcPr>
          <w:p>
            <w:pPr>
              <w:jc w:val="center"/>
              <w:rPr>
                <w:b/>
                <w:color w:val="000000"/>
                <w:szCs w:val="21"/>
              </w:rPr>
            </w:pPr>
            <w:r>
              <w:rPr>
                <w:rFonts w:hint="eastAsia"/>
                <w:b/>
                <w:color w:val="000000"/>
                <w:szCs w:val="21"/>
              </w:rPr>
              <w:t>性别</w:t>
            </w:r>
          </w:p>
        </w:tc>
        <w:tc>
          <w:tcPr>
            <w:tcW w:w="3537" w:type="dxa"/>
            <w:vAlign w:val="center"/>
          </w:tcPr>
          <w:p>
            <w:pPr>
              <w:jc w:val="center"/>
              <w:rPr>
                <w:b/>
                <w:color w:val="000000"/>
                <w:szCs w:val="21"/>
              </w:rPr>
            </w:pPr>
            <w:r>
              <w:rPr>
                <w:rFonts w:hint="eastAsia"/>
                <w:b/>
                <w:color w:val="000000"/>
                <w:szCs w:val="21"/>
              </w:rPr>
              <w:t>工作单位</w:t>
            </w:r>
          </w:p>
        </w:tc>
        <w:tc>
          <w:tcPr>
            <w:tcW w:w="2561" w:type="dxa"/>
            <w:gridSpan w:val="2"/>
            <w:vAlign w:val="center"/>
          </w:tcPr>
          <w:p>
            <w:pPr>
              <w:jc w:val="cente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37" w:type="dxa"/>
            <w:vAlign w:val="center"/>
          </w:tcPr>
          <w:p>
            <w:pPr>
              <w:rPr>
                <w:b/>
                <w:color w:val="000000"/>
                <w:szCs w:val="21"/>
              </w:rPr>
            </w:pPr>
          </w:p>
        </w:tc>
        <w:tc>
          <w:tcPr>
            <w:tcW w:w="2561"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537" w:type="dxa"/>
            <w:vAlign w:val="center"/>
          </w:tcPr>
          <w:p>
            <w:pPr>
              <w:rPr>
                <w:b/>
                <w:color w:val="000000"/>
                <w:szCs w:val="21"/>
                <w:highlight w:val="green"/>
              </w:rPr>
            </w:pPr>
          </w:p>
        </w:tc>
        <w:tc>
          <w:tcPr>
            <w:tcW w:w="2561" w:type="dxa"/>
            <w:gridSpan w:val="2"/>
            <w:vAlign w:val="center"/>
          </w:tcPr>
          <w:p>
            <w:pPr>
              <w:rPr>
                <w:b/>
                <w:color w:val="000000"/>
                <w:szCs w:val="21"/>
                <w:highlight w:val="green"/>
              </w:rPr>
            </w:pPr>
          </w:p>
        </w:tc>
      </w:tr>
    </w:tbl>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洪湖市现代基业商品砼有限公司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洪湖市乌林镇茅埠村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433210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洪湖市乌林镇茅埠村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433210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陈金祥</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18186577358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刘柳</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陈金祥</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产品：混凝土的生产及销售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lang w:val="en-US" w:eastAsia="zh-CN"/>
              </w:rPr>
            </w:pPr>
            <w:r>
              <w:rPr>
                <w:rFonts w:hint="eastAsia" w:ascii="宋体"/>
                <w:color w:val="000000"/>
                <w:szCs w:val="21"/>
                <w:lang w:val="en-US" w:eastAsia="zh-CN"/>
              </w:rPr>
              <w:t>混凝土的生产：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p>
            <w:pPr>
              <w:tabs>
                <w:tab w:val="left" w:pos="360"/>
              </w:tabs>
              <w:ind w:left="360" w:hanging="360"/>
              <w:rPr>
                <w:rFonts w:hint="default" w:ascii="宋体"/>
                <w:color w:val="000000"/>
                <w:szCs w:val="21"/>
                <w:lang w:val="en-US" w:eastAsia="zh-CN"/>
              </w:rPr>
            </w:pPr>
            <w:r>
              <w:rPr>
                <w:rFonts w:hint="eastAsia" w:ascii="宋体"/>
                <w:color w:val="000000"/>
                <w:szCs w:val="21"/>
                <w:lang w:val="en-US" w:eastAsia="zh-CN"/>
              </w:rPr>
              <w:t>混凝土的销售：顾客要求评审--签订合同--下达生产指令--生产---检测--交付--顾客满意监控--沟通改进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混凝土的生产及销售</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混凝土的生产及销售所涉及场所的相关环境管理活动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混凝土的生产及销售所涉及场所的相关职业健康安全管理活动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57"/>
        <w:gridCol w:w="1007"/>
        <w:gridCol w:w="577"/>
        <w:gridCol w:w="2485"/>
        <w:gridCol w:w="28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65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00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85"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851" w:type="dxa"/>
            <w:shd w:val="clear" w:color="auto" w:fill="F3F3F3"/>
            <w:tcMar>
              <w:left w:w="57" w:type="dxa"/>
              <w:right w:w="57" w:type="dxa"/>
            </w:tcMar>
          </w:tcPr>
          <w:p>
            <w:pPr>
              <w:pStyle w:val="21"/>
              <w:spacing w:before="0" w:after="0"/>
              <w:jc w:val="center"/>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657" w:type="dxa"/>
          </w:tcPr>
          <w:p>
            <w:pPr>
              <w:spacing w:before="40" w:after="40"/>
              <w:rPr>
                <w:rFonts w:hint="eastAsia" w:eastAsia="黑体"/>
                <w:szCs w:val="21"/>
                <w:lang w:val="en-US" w:eastAsia="zh-CN"/>
              </w:rPr>
            </w:pPr>
            <w:r>
              <w:rPr>
                <w:rFonts w:hint="eastAsia" w:eastAsia="黑体"/>
                <w:szCs w:val="21"/>
                <w:lang w:val="de-DE" w:eastAsia="ja-JP"/>
              </w:rPr>
              <w:t>洪湖市现代基业商品砼有限公司</w:t>
            </w:r>
            <w:r>
              <w:rPr>
                <w:rFonts w:hint="eastAsia" w:eastAsia="黑体"/>
                <w:szCs w:val="21"/>
                <w:lang w:val="en-US" w:eastAsia="zh-CN"/>
              </w:rPr>
              <w:t>/洪湖市乌林镇茅埠村</w:t>
            </w:r>
          </w:p>
        </w:tc>
        <w:tc>
          <w:tcPr>
            <w:tcW w:w="1007" w:type="dxa"/>
          </w:tcPr>
          <w:p>
            <w:pPr>
              <w:spacing w:before="40" w:after="40"/>
              <w:rPr>
                <w:rFonts w:eastAsia="黑体"/>
                <w:szCs w:val="21"/>
                <w:lang w:val="de-DE" w:eastAsia="ja-JP"/>
              </w:rPr>
            </w:pPr>
            <w:r>
              <w:rPr>
                <w:rFonts w:hint="eastAsia" w:eastAsia="黑体"/>
                <w:szCs w:val="21"/>
                <w:lang w:val="de-DE" w:eastAsia="ja-JP"/>
              </w:rPr>
              <w:t>洪湖市乌林镇茅埠村</w:t>
            </w:r>
          </w:p>
        </w:tc>
        <w:tc>
          <w:tcPr>
            <w:tcW w:w="577" w:type="dxa"/>
            <w:vAlign w:val="center"/>
          </w:tcPr>
          <w:p>
            <w:pPr>
              <w:spacing w:before="40" w:after="40"/>
              <w:rPr>
                <w:rFonts w:hint="default" w:eastAsia="黑体"/>
                <w:szCs w:val="21"/>
                <w:lang w:val="en-US" w:eastAsia="zh-CN"/>
              </w:rPr>
            </w:pPr>
            <w:r>
              <w:rPr>
                <w:rFonts w:hint="eastAsia" w:eastAsia="黑体"/>
                <w:szCs w:val="21"/>
                <w:lang w:val="en-US" w:eastAsia="zh-CN"/>
              </w:rPr>
              <w:t>56</w:t>
            </w:r>
          </w:p>
        </w:tc>
        <w:tc>
          <w:tcPr>
            <w:tcW w:w="2485" w:type="dxa"/>
            <w:vAlign w:val="center"/>
          </w:tcPr>
          <w:p>
            <w:pPr>
              <w:pStyle w:val="19"/>
              <w:rPr>
                <w:rFonts w:hint="eastAsia" w:eastAsia="黑体" w:cs="Arial"/>
                <w:sz w:val="21"/>
                <w:szCs w:val="21"/>
                <w:lang w:val="en-US" w:eastAsia="ja-JP"/>
              </w:rPr>
            </w:pPr>
            <w:r>
              <w:rPr>
                <w:rFonts w:hint="eastAsia" w:eastAsia="黑体" w:cs="Arial"/>
                <w:sz w:val="21"/>
                <w:szCs w:val="21"/>
                <w:lang w:val="en-US" w:eastAsia="ja-JP"/>
              </w:rPr>
              <w:t>Q：混凝土的生产及销售</w:t>
            </w:r>
          </w:p>
          <w:p>
            <w:pPr>
              <w:pStyle w:val="19"/>
              <w:rPr>
                <w:rFonts w:hint="eastAsia" w:eastAsia="黑体" w:cs="Arial"/>
                <w:sz w:val="21"/>
                <w:szCs w:val="21"/>
                <w:lang w:val="en-US" w:eastAsia="ja-JP"/>
              </w:rPr>
            </w:pPr>
            <w:r>
              <w:rPr>
                <w:rFonts w:hint="eastAsia" w:eastAsia="黑体" w:cs="Arial"/>
                <w:sz w:val="21"/>
                <w:szCs w:val="21"/>
                <w:lang w:val="en-US" w:eastAsia="ja-JP"/>
              </w:rPr>
              <w:t>E：混凝土的生产及销售所涉及场所的相关环境管理活动</w:t>
            </w:r>
          </w:p>
          <w:p>
            <w:pPr>
              <w:pStyle w:val="19"/>
              <w:rPr>
                <w:rFonts w:eastAsia="黑体" w:cs="Arial"/>
                <w:sz w:val="21"/>
                <w:szCs w:val="21"/>
                <w:lang w:val="en-US" w:eastAsia="ja-JP"/>
              </w:rPr>
            </w:pPr>
            <w:r>
              <w:rPr>
                <w:rFonts w:hint="eastAsia" w:eastAsia="黑体" w:cs="Arial"/>
                <w:sz w:val="21"/>
                <w:szCs w:val="21"/>
                <w:lang w:val="en-US" w:eastAsia="ja-JP"/>
              </w:rPr>
              <w:t>O：混凝土的生产及销售所涉及场所的相关职业健康安全管理活动</w:t>
            </w:r>
          </w:p>
        </w:tc>
        <w:tc>
          <w:tcPr>
            <w:tcW w:w="2851" w:type="dxa"/>
            <w:vAlign w:val="center"/>
          </w:tcPr>
          <w:p>
            <w:pPr>
              <w:spacing w:before="40" w:after="40"/>
              <w:jc w:val="left"/>
              <w:rPr>
                <w:rFonts w:hint="eastAsia" w:eastAsia="黑体"/>
                <w:szCs w:val="21"/>
                <w:lang w:eastAsia="ja-JP"/>
              </w:rPr>
            </w:pPr>
            <w:r>
              <w:rPr>
                <w:rFonts w:hint="eastAsia" w:eastAsia="黑体"/>
                <w:szCs w:val="21"/>
                <w:lang w:eastAsia="ja-JP"/>
              </w:rPr>
              <w:t xml:space="preserve">■GB/T19001-2016/ISO 9001:2015    </w:t>
            </w:r>
          </w:p>
          <w:p>
            <w:pPr>
              <w:spacing w:before="40" w:after="40"/>
              <w:jc w:val="left"/>
              <w:rPr>
                <w:rFonts w:hint="eastAsia" w:eastAsia="黑体"/>
                <w:szCs w:val="21"/>
                <w:lang w:eastAsia="ja-JP"/>
              </w:rPr>
            </w:pPr>
            <w:r>
              <w:rPr>
                <w:rFonts w:hint="eastAsia" w:eastAsia="黑体"/>
                <w:szCs w:val="21"/>
                <w:lang w:eastAsia="ja-JP"/>
              </w:rPr>
              <w:t xml:space="preserve">■GB/T24001-2016/ISO 14001:2015 </w:t>
            </w:r>
          </w:p>
          <w:p>
            <w:pPr>
              <w:spacing w:before="40" w:after="40"/>
              <w:jc w:val="left"/>
              <w:rPr>
                <w:rFonts w:eastAsia="黑体"/>
                <w:szCs w:val="21"/>
                <w:lang w:eastAsia="ja-JP"/>
              </w:rPr>
            </w:pPr>
            <w:r>
              <w:rPr>
                <w:rFonts w:hint="eastAsia" w:eastAsia="黑体"/>
                <w:szCs w:val="21"/>
                <w:lang w:eastAsia="ja-JP"/>
              </w:rPr>
              <w:t>■GB/T 45001-2020/ISO45001：2018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657" w:type="dxa"/>
            <w:vAlign w:val="center"/>
          </w:tcPr>
          <w:p>
            <w:pPr>
              <w:spacing w:before="40" w:after="40"/>
              <w:rPr>
                <w:rFonts w:eastAsia="黑体"/>
                <w:szCs w:val="21"/>
                <w:lang w:eastAsia="ja-JP"/>
              </w:rPr>
            </w:pPr>
          </w:p>
        </w:tc>
        <w:tc>
          <w:tcPr>
            <w:tcW w:w="1007" w:type="dxa"/>
            <w:vAlign w:val="center"/>
          </w:tcPr>
          <w:p>
            <w:pPr>
              <w:spacing w:before="40" w:after="40"/>
              <w:rPr>
                <w:rFonts w:eastAsia="黑体"/>
                <w:szCs w:val="21"/>
                <w:lang w:eastAsia="ja-JP"/>
              </w:rPr>
            </w:pPr>
          </w:p>
        </w:tc>
        <w:tc>
          <w:tcPr>
            <w:tcW w:w="577" w:type="dxa"/>
            <w:vAlign w:val="center"/>
          </w:tcPr>
          <w:p>
            <w:pPr>
              <w:spacing w:before="40" w:after="40"/>
              <w:rPr>
                <w:rFonts w:eastAsia="黑体"/>
                <w:szCs w:val="21"/>
                <w:lang w:eastAsia="ja-JP"/>
              </w:rPr>
            </w:pPr>
          </w:p>
        </w:tc>
        <w:tc>
          <w:tcPr>
            <w:tcW w:w="2485" w:type="dxa"/>
            <w:vAlign w:val="center"/>
          </w:tcPr>
          <w:p>
            <w:pPr>
              <w:spacing w:before="40" w:after="40"/>
              <w:rPr>
                <w:rFonts w:eastAsia="黑体"/>
                <w:szCs w:val="21"/>
                <w:lang w:eastAsia="ja-JP"/>
              </w:rPr>
            </w:pPr>
          </w:p>
        </w:tc>
        <w:tc>
          <w:tcPr>
            <w:tcW w:w="285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657" w:type="dxa"/>
            <w:vAlign w:val="center"/>
          </w:tcPr>
          <w:p>
            <w:pPr>
              <w:spacing w:before="40" w:after="40"/>
              <w:rPr>
                <w:rFonts w:eastAsia="黑体"/>
                <w:szCs w:val="21"/>
                <w:lang w:eastAsia="ja-JP"/>
              </w:rPr>
            </w:pPr>
          </w:p>
        </w:tc>
        <w:tc>
          <w:tcPr>
            <w:tcW w:w="1007" w:type="dxa"/>
            <w:vAlign w:val="center"/>
          </w:tcPr>
          <w:p>
            <w:pPr>
              <w:spacing w:before="40" w:after="40"/>
              <w:rPr>
                <w:rFonts w:eastAsia="黑体"/>
                <w:szCs w:val="21"/>
                <w:lang w:eastAsia="ja-JP"/>
              </w:rPr>
            </w:pPr>
          </w:p>
        </w:tc>
        <w:tc>
          <w:tcPr>
            <w:tcW w:w="577" w:type="dxa"/>
            <w:vAlign w:val="center"/>
          </w:tcPr>
          <w:p>
            <w:pPr>
              <w:spacing w:before="40" w:after="40"/>
              <w:rPr>
                <w:rFonts w:eastAsia="黑体"/>
                <w:szCs w:val="21"/>
                <w:lang w:eastAsia="ja-JP"/>
              </w:rPr>
            </w:pPr>
          </w:p>
        </w:tc>
        <w:tc>
          <w:tcPr>
            <w:tcW w:w="2485" w:type="dxa"/>
            <w:vAlign w:val="center"/>
          </w:tcPr>
          <w:p>
            <w:pPr>
              <w:spacing w:before="40" w:after="40"/>
              <w:rPr>
                <w:rFonts w:eastAsia="黑体"/>
                <w:szCs w:val="21"/>
                <w:lang w:eastAsia="ja-JP"/>
              </w:rPr>
            </w:pPr>
          </w:p>
        </w:tc>
        <w:tc>
          <w:tcPr>
            <w:tcW w:w="285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657" w:type="dxa"/>
            <w:vAlign w:val="center"/>
          </w:tcPr>
          <w:p>
            <w:pPr>
              <w:spacing w:before="40" w:after="40"/>
              <w:rPr>
                <w:rFonts w:eastAsia="黑体"/>
                <w:szCs w:val="21"/>
                <w:lang w:eastAsia="ja-JP"/>
              </w:rPr>
            </w:pPr>
          </w:p>
        </w:tc>
        <w:tc>
          <w:tcPr>
            <w:tcW w:w="1007" w:type="dxa"/>
            <w:vAlign w:val="center"/>
          </w:tcPr>
          <w:p>
            <w:pPr>
              <w:spacing w:before="40" w:after="40"/>
              <w:rPr>
                <w:rFonts w:eastAsia="黑体"/>
                <w:szCs w:val="21"/>
                <w:lang w:eastAsia="ja-JP"/>
              </w:rPr>
            </w:pPr>
          </w:p>
        </w:tc>
        <w:tc>
          <w:tcPr>
            <w:tcW w:w="577" w:type="dxa"/>
            <w:vAlign w:val="center"/>
          </w:tcPr>
          <w:p>
            <w:pPr>
              <w:spacing w:before="40" w:after="40"/>
              <w:rPr>
                <w:rFonts w:eastAsia="黑体"/>
                <w:szCs w:val="21"/>
                <w:lang w:eastAsia="ja-JP"/>
              </w:rPr>
            </w:pPr>
          </w:p>
        </w:tc>
        <w:tc>
          <w:tcPr>
            <w:tcW w:w="2485" w:type="dxa"/>
            <w:vAlign w:val="center"/>
          </w:tcPr>
          <w:p>
            <w:pPr>
              <w:spacing w:before="40" w:after="40"/>
              <w:rPr>
                <w:rFonts w:eastAsia="黑体"/>
                <w:szCs w:val="21"/>
                <w:lang w:eastAsia="ja-JP"/>
              </w:rPr>
            </w:pPr>
          </w:p>
        </w:tc>
        <w:tc>
          <w:tcPr>
            <w:tcW w:w="285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657" w:type="dxa"/>
            <w:vAlign w:val="center"/>
          </w:tcPr>
          <w:p>
            <w:pPr>
              <w:spacing w:before="40" w:after="40"/>
              <w:rPr>
                <w:rFonts w:eastAsia="黑体"/>
                <w:szCs w:val="21"/>
                <w:lang w:eastAsia="ja-JP"/>
              </w:rPr>
            </w:pPr>
          </w:p>
        </w:tc>
        <w:tc>
          <w:tcPr>
            <w:tcW w:w="1007" w:type="dxa"/>
            <w:vAlign w:val="center"/>
          </w:tcPr>
          <w:p>
            <w:pPr>
              <w:spacing w:before="40" w:after="40"/>
              <w:rPr>
                <w:rFonts w:eastAsia="黑体"/>
                <w:szCs w:val="21"/>
                <w:lang w:eastAsia="ja-JP"/>
              </w:rPr>
            </w:pPr>
          </w:p>
        </w:tc>
        <w:tc>
          <w:tcPr>
            <w:tcW w:w="577" w:type="dxa"/>
            <w:vAlign w:val="center"/>
          </w:tcPr>
          <w:p>
            <w:pPr>
              <w:spacing w:before="40" w:after="40"/>
              <w:rPr>
                <w:rFonts w:eastAsia="黑体"/>
                <w:szCs w:val="21"/>
                <w:lang w:eastAsia="ja-JP"/>
              </w:rPr>
            </w:pPr>
          </w:p>
        </w:tc>
        <w:tc>
          <w:tcPr>
            <w:tcW w:w="2485" w:type="dxa"/>
            <w:vAlign w:val="center"/>
          </w:tcPr>
          <w:p>
            <w:pPr>
              <w:spacing w:before="40" w:after="40"/>
              <w:rPr>
                <w:rFonts w:eastAsia="黑体"/>
                <w:szCs w:val="21"/>
                <w:lang w:eastAsia="ja-JP"/>
              </w:rPr>
            </w:pPr>
          </w:p>
        </w:tc>
        <w:tc>
          <w:tcPr>
            <w:tcW w:w="285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rPr>
              <w:t>生产</w:t>
            </w:r>
            <w:r>
              <w:rPr>
                <w:rFonts w:hint="eastAsia" w:ascii="宋体"/>
                <w:b w:val="0"/>
                <w:bCs/>
                <w:color w:val="000000"/>
                <w:sz w:val="21"/>
                <w:szCs w:val="21"/>
                <w:lang w:val="en-US" w:eastAsia="zh-CN"/>
              </w:rPr>
              <w:t>/经营/流通许可证</w:t>
            </w:r>
            <w:r>
              <w:rPr>
                <w:rFonts w:hint="eastAsia" w:ascii="宋体"/>
                <w:b w:val="0"/>
                <w:bCs/>
                <w:color w:val="000000"/>
                <w:sz w:val="21"/>
                <w:szCs w:val="21"/>
              </w:rPr>
              <w:t>是否有效</w:t>
            </w:r>
          </w:p>
        </w:tc>
        <w:tc>
          <w:tcPr>
            <w:tcW w:w="1048" w:type="dxa"/>
            <w:shd w:val="clear" w:color="auto" w:fill="auto"/>
            <w:vAlign w:val="center"/>
          </w:tcPr>
          <w:p>
            <w:pPr>
              <w:jc w:val="left"/>
              <w:rPr>
                <w:rFonts w:ascii="宋体" w:hAnsi="宋体"/>
                <w:color w:val="000000"/>
                <w:sz w:val="21"/>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27</w:t>
            </w:r>
            <w:r>
              <w:rPr>
                <w:rFonts w:hint="eastAsia" w:ascii="宋体" w:hAnsi="宋体"/>
                <w:b/>
                <w:color w:val="000000"/>
                <w:szCs w:val="21"/>
                <w:u w:val="single"/>
              </w:rPr>
              <w:t>日</w:t>
            </w:r>
            <w:r>
              <w:rPr>
                <w:rFonts w:hint="eastAsia" w:ascii="宋体" w:hAnsi="宋体"/>
                <w:b/>
                <w:color w:val="000000"/>
                <w:szCs w:val="21"/>
                <w:u w:val="single"/>
                <w:lang w:val="en-US" w:eastAsia="zh-CN"/>
              </w:rPr>
              <w:t>-28日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2021年9月18日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配料混合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OHSAS 18001:2007</w:t>
            </w:r>
            <w:r>
              <w:rPr>
                <w:rFonts w:hint="eastAsia" w:eastAsia="黑体"/>
                <w:b/>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2021-11-0</w:t>
            </w:r>
            <w:bookmarkEnd w:id="35"/>
            <w:r>
              <w:rPr>
                <w:rFonts w:hint="eastAsia" w:ascii="宋体"/>
                <w:b/>
                <w:color w:val="000000"/>
                <w:szCs w:val="21"/>
                <w:lang w:val="en-US" w:eastAsia="zh-CN"/>
              </w:rPr>
              <w:t>6～2021-11-08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bookmarkStart w:id="36" w:name="_GoBack"/>
            <w:bookmarkEnd w:id="36"/>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Adobe Myungjo Std M"/>
    <w:panose1 w:val="02020609040205080304"/>
    <w:charset w:val="80"/>
    <w:family w:val="modern"/>
    <w:pitch w:val="default"/>
    <w:sig w:usb0="00000000" w:usb1="00000000" w:usb2="00000010" w:usb3="00000000" w:csb0="0002009F" w:csb1="00000000"/>
  </w:font>
  <w:font w:name="Adobe Myungjo Std M">
    <w:panose1 w:val="02020600000000000000"/>
    <w:charset w:val="80"/>
    <w:family w:val="auto"/>
    <w:pitch w:val="default"/>
    <w:sig w:usb0="800002A7" w:usb1="29D7FCFB" w:usb2="00000010" w:usb3="00000000" w:csb0="402A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mc:AlternateContent>
        <mc:Choice Requires="wps">
          <w:drawing>
            <wp:anchor distT="0" distB="0" distL="114300" distR="114300" simplePos="0" relativeHeight="251659264" behindDoc="0" locked="0" layoutInCell="1" allowOverlap="1">
              <wp:simplePos x="0" y="0"/>
              <wp:positionH relativeFrom="column">
                <wp:posOffset>5110480</wp:posOffset>
              </wp:positionH>
              <wp:positionV relativeFrom="paragraph">
                <wp:posOffset>144145</wp:posOffset>
              </wp:positionV>
              <wp:extent cx="1032510" cy="256540"/>
              <wp:effectExtent l="0" t="0" r="8890" b="10160"/>
              <wp:wrapNone/>
              <wp:docPr id="1" name="文本框 1"/>
              <wp:cNvGraphicFramePr/>
              <a:graphic xmlns:a="http://schemas.openxmlformats.org/drawingml/2006/main">
                <a:graphicData uri="http://schemas.microsoft.com/office/word/2010/wordprocessingShape">
                  <wps:wsp>
                    <wps:cNvSpPr txBox="1"/>
                    <wps:spPr>
                      <a:xfrm>
                        <a:off x="0" y="0"/>
                        <a:ext cx="10325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wps:txbx>
                    <wps:bodyPr upright="1"/>
                  </wps:wsp>
                </a:graphicData>
              </a:graphic>
            </wp:anchor>
          </w:drawing>
        </mc:Choice>
        <mc:Fallback>
          <w:pict>
            <v:shape id="_x0000_s1026" o:spid="_x0000_s1026" o:spt="202" type="#_x0000_t202" style="position:absolute;left:0pt;margin-left:402.4pt;margin-top:11.35pt;height:20.2pt;width:81.3pt;z-index:251659264;mso-width-relative:page;mso-height-relative:page;" fillcolor="#FFFFFF" filled="t" stroked="f" coordsize="21600,21600" o:gfxdata="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iFnHdcAAAAJAQAADwAAAAAAAAABACAAAAAiAAAAZHJzL2Rvd25yZXYueG1s&#10;UEsBAhQAFAAAAAgAh07iQMoh3RLAAQAAdwMAAA4AAAAAAAAAAQAgAAAAJgEAAGRycy9lMm9Eb2Mu&#10;eG1sUEsFBgAAAAAGAAYAWQEAAFg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0E4B63"/>
    <w:rsid w:val="31E96A6C"/>
    <w:rsid w:val="36616DE2"/>
    <w:rsid w:val="4A876247"/>
    <w:rsid w:val="771E3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6</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2021-11-08T01:34:55Z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934DB2ED2F1A4C67972F73DEF3B10301</vt:lpwstr>
  </property>
  <property fmtid="{D5CDD505-2E9C-101B-9397-08002B2CF9AE}" pid="3" name="KSOProductBuildVer">
    <vt:lpwstr>2052-11.1.0.11045</vt:lpwstr>
  </property>
</Properties>
</file>