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7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许</w:t>
            </w:r>
            <w:r>
              <w:rPr>
                <w:rFonts w:hint="eastAsia"/>
                <w:sz w:val="24"/>
                <w:szCs w:val="24"/>
              </w:rPr>
              <w:t>存德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赵广印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  <w:tc>
          <w:tcPr>
            <w:tcW w:w="10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2021年11月0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  <w:bookmarkEnd w:id="0"/>
          </w:p>
        </w:tc>
        <w:tc>
          <w:tcPr>
            <w:tcW w:w="11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  <w:tc>
          <w:tcPr>
            <w:tcW w:w="10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Q/</w:t>
            </w: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6.1.4措施的策划、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1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本部门现有人员2人，其中主管1人、管理人员1人；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主要负责：采购控制、供应商管控、市场调研与开发，招投标、商务谈判及合同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/订单</w:t>
            </w:r>
            <w:r>
              <w:rPr>
                <w:rFonts w:hAnsiTheme="minorEastAsia" w:eastAsiaTheme="minorEastAsia"/>
                <w:sz w:val="21"/>
                <w:szCs w:val="21"/>
              </w:rPr>
              <w:t>评审，顾客档案建立，售后服务及顾客满意度评价与分析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环境因素和危险源识别和控制，本部门目标制定与实施，与相关方做好沟通等。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查见“目标、指标及管理方案控制程序”，有效文件；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保留“目标分解规定”，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显示2021年对目标按照部门进行了分解；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查见销售部目标分解及完成情况：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客户投诉每年少于3起；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顾客满意率96%以上；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固体废弃物100%合理分类处理；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触电事故发生率为零；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各类重伤以上事故发生率为零；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火灾事故发生率为零。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保留“目标完成情况统计”，考核结果显示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识别及评价控制程序》、《危险源辨识、风险评价和控制措施的控制程序》，按照办公过程对环境因素、危险源进行了辨识，辨识时考虑了三种时态：过去、现在和将来，和三种状态：正常、异常和紧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识别评价汇总表”，识别了在办公过程的环境因素，包括日光灯更换、电脑使用用电消耗、办公纸张消耗、宣传材料的处置、车辆尾气排放、废包装物排放、水电消耗等环境因素，识别时能考虑产品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查公司《重要环境因素清单》，包括：潜在火灾、固废排放；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控制措施——制定管理方案：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对固体废弃物进行合理分类，并放置到指定位置；公司按环卫的有关要求，定期将不能回收利用的废弃物交环卫部门进行收集处理；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配备有消防器材；对公司各区域的灭火器进行检查，发现损坏及时更换；各部门负责及时清理个区域内的可燃物。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查“危险源识别及风险评价表”，识别了办公用电、吸烟导致火灾等16项，眼睛损害、腰颈疲劳、车辆伤害等危险源。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查公司《不可接受风险清单》，包括：触电、火灾事故；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建议对交通风险的车辆伤害重新评价，交流；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——制定管理方案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危险源控制执行管理方案、配备消防器材、日常检查、培训教育、应急预案等运行控制措施。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增添漏电保护器、保护接地和更换部分开关、线路；对员工进行安全用电的培训教育；纳入日常安全管理制度，进行检查。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基本符合规定要求。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Q:7.1.4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现场观察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，办公及展厅面积约500平方米，</w:t>
            </w:r>
            <w:r>
              <w:rPr>
                <w:rFonts w:hint="eastAsia" w:cs="Times New Roman"/>
                <w:szCs w:val="22"/>
                <w:lang w:val="en-US" w:eastAsia="zh-CN"/>
              </w:rPr>
              <w:t>分区设置，配置的办公桌符合人机工程要求，干净整洁，照明、通风良好；配置有空调，温度适宜；有少量绿植；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查见配置有消防设施，状态良好，设置有火灾警铃、消防联控烟感器和喷头、应急通道指示等；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不定期对员工进行交通安全宣传；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员工关系和谐，与工作人员交流时，情绪愉快。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45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参加行政部组织的应急演练，详见行政部审核记录。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bookmarkStart w:id="1" w:name="_GoBack"/>
      <w:bookmarkEnd w:id="1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620.4pt;margin-top:12.55pt;height:20.2pt;width:102.7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B43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8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2021-11-05T08:15:16Z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