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2040"/>
        <w:gridCol w:w="1783"/>
        <w:gridCol w:w="1504"/>
        <w:gridCol w:w="171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04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sz w:val="21"/>
                <w:szCs w:val="21"/>
              </w:rPr>
              <w:t>江西江灵教育装备有限公司</w:t>
            </w:r>
            <w:bookmarkEnd w:id="7"/>
          </w:p>
        </w:tc>
        <w:tc>
          <w:tcPr>
            <w:tcW w:w="178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6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QEO：</w:t>
            </w:r>
            <w:r>
              <w:rPr>
                <w:sz w:val="20"/>
                <w:lang w:val="de-DE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719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after="0"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客户洽谈---合同签订---供方选择---采购实施---验货---发货--客户--验货---满意度调查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after="0" w:line="280" w:lineRule="exact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关键</w:t>
            </w:r>
            <w:r>
              <w:rPr>
                <w:rFonts w:hint="eastAsia"/>
                <w:sz w:val="20"/>
                <w:lang w:val="en-US" w:eastAsia="zh-CN"/>
              </w:rPr>
              <w:t>过程：采购过程、销售过程</w:t>
            </w:r>
          </w:p>
          <w:p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特殊过程：销售过程，按销售服务规范作业。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after="0"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重大环境因素：火灾，固废排放；</w:t>
            </w:r>
          </w:p>
          <w:p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after="0"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重大危险源：触电、火灾；</w:t>
            </w:r>
          </w:p>
          <w:p>
            <w:pPr>
              <w:snapToGrid w:val="0"/>
              <w:spacing w:after="0"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按企业管理规定、运行控制、应急预案、检查控制等措施进行。进行教育培训，提高安全意识；做好火灾预防措施一旦发生按相关应急预案执行；制定目标、指标；对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after="0"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商品经营服务质量管理规范》、</w:t>
            </w:r>
            <w:r>
              <w:rPr>
                <w:sz w:val="20"/>
              </w:rPr>
              <w:t>教学仪器产品的检验规则</w:t>
            </w:r>
            <w:r>
              <w:rPr>
                <w:rFonts w:hint="eastAsia"/>
                <w:sz w:val="20"/>
              </w:rPr>
              <w:t>JY 0002－2003、</w:t>
            </w:r>
          </w:p>
          <w:p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教学仪器产品一般质量要求</w:t>
            </w:r>
            <w:r>
              <w:rPr>
                <w:sz w:val="20"/>
              </w:rPr>
              <w:t>JY 0001—</w:t>
            </w:r>
            <w:r>
              <w:rPr>
                <w:rFonts w:hint="eastAsia"/>
                <w:sz w:val="20"/>
              </w:rPr>
              <w:t>2003、</w:t>
            </w:r>
            <w:r>
              <w:rPr>
                <w:sz w:val="20"/>
              </w:rPr>
              <w:t>中小学体育器材和场地GB/T 19851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—2005、实验室仪器和设备质量检验规则GB/T 29252-2012、</w:t>
            </w:r>
            <w:r>
              <w:rPr>
                <w:rFonts w:hint="eastAsia"/>
                <w:sz w:val="20"/>
              </w:rPr>
              <w:t>家用和类似用途电器的安全GB4706.1-2005、</w:t>
            </w:r>
            <w:r>
              <w:rPr>
                <w:sz w:val="20"/>
              </w:rPr>
              <w:t>家具 桌、椅、凳类主要尺寸GB/T3326-2016、玩具安全 第1部分:基本规范GB 6675.1-2014、电鸣乐器均衡类音效装置通用技术条件GB/T25454—2010、学校课桌椅功能尺寸及技术要求</w:t>
            </w:r>
            <w:r>
              <w:rPr>
                <w:rFonts w:hint="eastAsia"/>
                <w:sz w:val="20"/>
              </w:rPr>
              <w:t>GB/T3976</w:t>
            </w:r>
            <w:r>
              <w:rPr>
                <w:sz w:val="20"/>
              </w:rPr>
              <w:t>—</w:t>
            </w:r>
            <w:r>
              <w:rPr>
                <w:rFonts w:hint="eastAsia"/>
                <w:sz w:val="20"/>
              </w:rPr>
              <w:t>2014、</w:t>
            </w:r>
            <w:r>
              <w:rPr>
                <w:sz w:val="20"/>
              </w:rPr>
              <w:t>木家具通用技术条件GB/T 3324-</w:t>
            </w:r>
            <w:r>
              <w:rPr>
                <w:rFonts w:hint="eastAsia"/>
                <w:sz w:val="20"/>
              </w:rPr>
              <w:t>2017、</w:t>
            </w:r>
            <w:r>
              <w:rPr>
                <w:sz w:val="20"/>
              </w:rPr>
              <w:t>金属家具通用技术条件GB/T3325-20</w:t>
            </w:r>
            <w:r>
              <w:rPr>
                <w:rFonts w:hint="eastAsia"/>
                <w:sz w:val="20"/>
              </w:rPr>
              <w:t>17、</w:t>
            </w:r>
            <w:r>
              <w:rPr>
                <w:sz w:val="20"/>
              </w:rPr>
              <w:t>中小学实验室设备技术规范DB/T692-2018、办公家具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办公椅QB/T2280-2016、金属家具 质量检验及质量评定QB/T1951.2-2013、</w:t>
            </w:r>
            <w:r>
              <w:rPr>
                <w:rFonts w:hint="eastAsia"/>
                <w:sz w:val="20"/>
              </w:rPr>
              <w:t>课桌椅QB/T4071-2010、儿童家具通用技术条件GB 28007-2011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检验外观、数量、规格、合格证等</w:t>
            </w:r>
            <w:r>
              <w:rPr>
                <w:b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after="0"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审核知识及注意事项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4601" w:type="dxa"/>
            <w:gridSpan w:val="3"/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2021-11-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04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78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460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after="0"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2021-11-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8" w:name="_GoBack"/>
      <w:bookmarkEnd w:id="8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7033" y="0"/>
              <wp:lineTo x="4019" y="1440"/>
              <wp:lineTo x="-502" y="5760"/>
              <wp:lineTo x="-502" y="10080"/>
              <wp:lineTo x="0" y="15360"/>
              <wp:lineTo x="502" y="17280"/>
              <wp:lineTo x="7033" y="20640"/>
              <wp:lineTo x="11051" y="20640"/>
              <wp:lineTo x="13060" y="20640"/>
              <wp:lineTo x="13563" y="20640"/>
              <wp:lineTo x="20093" y="15360"/>
              <wp:lineTo x="21098" y="6240"/>
              <wp:lineTo x="15070" y="480"/>
              <wp:lineTo x="12558" y="0"/>
              <wp:lineTo x="7033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9.65pt;margin-top:2.8pt;height:20.2pt;width:111.8pt;z-index:251658240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/6Ws1wAAAAgBAAAPAAAAAAAAAAEAIAAAACIAAABkcnMvZG93bnJldi54&#10;bWxQSwECFAAUAAAACACHTuJAiCDQt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B"/>
    <w:rsid w:val="00052B90"/>
    <w:rsid w:val="00872E7B"/>
    <w:rsid w:val="00884FA9"/>
    <w:rsid w:val="00A8541C"/>
    <w:rsid w:val="00BB3159"/>
    <w:rsid w:val="00DE6818"/>
    <w:rsid w:val="00F67995"/>
    <w:rsid w:val="02986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170</Words>
  <Characters>970</Characters>
  <Lines>8</Lines>
  <Paragraphs>2</Paragraphs>
  <TotalTime>25</TotalTime>
  <ScaleCrop>false</ScaleCrop>
  <LinksUpToDate>false</LinksUpToDate>
  <CharactersWithSpaces>1138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2021-11-06T07:02:25Z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