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江西省高峰碳酸钙有限公司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吴勇清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工业碳酸钙：原材料采购→进货检验→装窑、高温烧制→消化→石灰乳→碳化→离心分离→干燥→筛粉→包装→成品入库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关键过程：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煅烧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消化、碳化，制定工艺文件；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特殊过程：煅烧，进行特殊过程确认。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潜在火灾</w:t>
            </w:r>
            <w:r>
              <w:rPr>
                <w:rFonts w:hint="eastAsia" w:ascii="黑体" w:eastAsia="黑体"/>
                <w:bCs/>
                <w:sz w:val="21"/>
                <w:szCs w:val="21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粉尘排放、噪声、固废，制定了管理方案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运行控制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机械伤害、触电、火灾、职业病等，制定了管理方案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运行控制</w:t>
            </w:r>
            <w:r>
              <w:rPr>
                <w:rFonts w:hint="eastAsia"/>
                <w:b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中华人民共和国安全生产法、</w:t>
            </w:r>
            <w:r>
              <w:fldChar w:fldCharType="begin"/>
            </w:r>
            <w:r>
              <w:instrText xml:space="preserve"> HYPERLINK "http://baike.baidu.com/view/981704.htm" \t "http://baike.baidu.com/view/_blank"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生产安全事故报告和调查处理条例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、特种设备安全监察条例、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中华人民共和国环境保护法、中华人民共和国环境噪声污染防治法、中华人民共和国固体废物污染环境防治法、环境空气质量标准GB3095-2012、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普通工业沉淀碳酸钙HG/T2226—2010等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PH、白度、挥发物、沉降体积、细度和吸油值等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吴勇清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2021.11.9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C1198A"/>
    <w:rsid w:val="63293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12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2021-11-12T01:20:33Z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