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配电箱接地保护连续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HX/GL-09-2017《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测试仪检验规程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2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0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2.46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838200" cy="446405"/>
            <wp:effectExtent l="0" t="0" r="0" b="11430"/>
            <wp:docPr id="2" name="图片 2" descr="1e1b7f5d5bc7d4d44da85833f113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1b7f5d5bc7d4d44da85833f1136c3"/>
                    <pic:cNvPicPr>
                      <a:picLocks noChangeAspect="1"/>
                    </pic:cNvPicPr>
                  </pic:nvPicPr>
                  <pic:blipFill>
                    <a:blip r:embed="rId20"/>
                    <a:srcRect l="8630" t="-6143" r="4414" b="1977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24F1DB4"/>
    <w:rsid w:val="02DF3A87"/>
    <w:rsid w:val="03315DE3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AC20D34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EC64C8"/>
    <w:rsid w:val="38B22018"/>
    <w:rsid w:val="38B72B67"/>
    <w:rsid w:val="39A35F89"/>
    <w:rsid w:val="3A5F7CB0"/>
    <w:rsid w:val="3B3B6DF8"/>
    <w:rsid w:val="3C1350F1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2021-11-13T03:19:09Z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4EB06C785085478D89FF13E1A04EF855</vt:lpwstr>
  </property>
</Properties>
</file>