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新疆金成石油化工设备有限公司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110883346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新疆维吾尔自治区计量测试研究院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KC703102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新疆维吾尔自治区计量测试研究院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±2HRC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标准洛氏硬度块（14块）均匀度0.2HRC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新疆维吾尔自治区计量测试研究院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液压万能试验机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W40-233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WE-1000C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新疆维吾尔自治区计量测试研究院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压力变送器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SC190824001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GB-300G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过程仪表校验仪0.05级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标准活塞式压力计0.005级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新疆维吾尔自治区计量测试研究院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频率表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1156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6C2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外差式工频频率计U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95rel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=7.2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新疆维吾尔自治区计量测试研究院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新疆维吾尔自治区计量测试研究院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0160" b="508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591185" cy="287655"/>
                  <wp:effectExtent l="0" t="0" r="5715" b="4445"/>
                  <wp:docPr id="4" name="图片 1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ffb057ea1bcbebe5a737069c2fad91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contrast="100000"/>
                          </a:blip>
                          <a:srcRect l="14179" t="61700" r="68435" b="33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0" cy="28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1153F0"/>
    <w:rsid w:val="65AE2F77"/>
    <w:rsid w:val="67E93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2021-11-02T07:22:13Z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F970E2B09C1546BEA64B9BC4E6E2345D</vt:lpwstr>
  </property>
</Properties>
</file>